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1530"/>
        <w:gridCol w:w="4385"/>
        <w:gridCol w:w="2960"/>
      </w:tblGrid>
      <w:tr w:rsidR="00372F6D" w:rsidRPr="001D1DEC" w14:paraId="62442DB9" w14:textId="77777777" w:rsidTr="00FF0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5" w:type="dxa"/>
            <w:gridSpan w:val="3"/>
            <w:vAlign w:val="center"/>
          </w:tcPr>
          <w:p w14:paraId="354CE6EF" w14:textId="3AEAD5AC" w:rsidR="00372F6D" w:rsidRPr="001D1DEC" w:rsidRDefault="00E61499" w:rsidP="00FF0FE1">
            <w:pPr>
              <w:jc w:val="center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Program</w:t>
            </w:r>
            <w:r w:rsidR="0009005E" w:rsidRPr="001D1DEC">
              <w:rPr>
                <w:rFonts w:ascii="Georgia" w:hAnsi="Georgia" w:cstheme="majorHAnsi"/>
                <w:sz w:val="20"/>
              </w:rPr>
              <w:t>:</w:t>
            </w:r>
            <w:r w:rsidRPr="001D1DEC">
              <w:rPr>
                <w:rFonts w:ascii="Georgia" w:hAnsi="Georgia" w:cstheme="majorHAnsi"/>
                <w:sz w:val="20"/>
              </w:rPr>
              <w:t xml:space="preserve"> 24 oktober 2019</w:t>
            </w:r>
          </w:p>
        </w:tc>
      </w:tr>
      <w:tr w:rsidR="00FF0FE1" w:rsidRPr="001D1DEC" w14:paraId="6C4F6A7F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0EEC1" w:themeFill="accent5" w:themeFillTint="66"/>
            <w:vAlign w:val="center"/>
          </w:tcPr>
          <w:p w14:paraId="585F6964" w14:textId="45F57A8D" w:rsidR="00FF0FE1" w:rsidRPr="001D1DEC" w:rsidRDefault="00FF0FE1" w:rsidP="0025757C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9.30-9.55</w:t>
            </w:r>
          </w:p>
        </w:tc>
        <w:tc>
          <w:tcPr>
            <w:tcW w:w="7345" w:type="dxa"/>
            <w:gridSpan w:val="2"/>
            <w:shd w:val="clear" w:color="auto" w:fill="F0EEC1" w:themeFill="accent5" w:themeFillTint="66"/>
            <w:vAlign w:val="center"/>
          </w:tcPr>
          <w:p w14:paraId="41A183F0" w14:textId="5FEB631C" w:rsidR="00FF0FE1" w:rsidRPr="001D1DEC" w:rsidRDefault="00FF0FE1" w:rsidP="00FF0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b/>
                <w:sz w:val="20"/>
              </w:rPr>
              <w:t xml:space="preserve">                                K</w:t>
            </w:r>
            <w:r w:rsidRPr="001D1DEC">
              <w:rPr>
                <w:rFonts w:ascii="Georgia" w:hAnsi="Georgia" w:cstheme="majorHAnsi"/>
                <w:b/>
                <w:sz w:val="20"/>
              </w:rPr>
              <w:t>affe och registrering</w:t>
            </w:r>
          </w:p>
        </w:tc>
      </w:tr>
      <w:tr w:rsidR="00EA79B0" w:rsidRPr="001D1DEC" w14:paraId="4A6563A8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F26B515" w14:textId="5D52D497" w:rsidR="00EA79B0" w:rsidRPr="001D1DEC" w:rsidRDefault="00EA79B0" w:rsidP="0025757C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9.5</w:t>
            </w:r>
            <w:r w:rsidR="00870E9B">
              <w:rPr>
                <w:rFonts w:ascii="Georgia" w:hAnsi="Georgia" w:cstheme="majorHAnsi"/>
                <w:sz w:val="20"/>
              </w:rPr>
              <w:t>5-10.00</w:t>
            </w:r>
          </w:p>
        </w:tc>
        <w:tc>
          <w:tcPr>
            <w:tcW w:w="4385" w:type="dxa"/>
            <w:vAlign w:val="center"/>
          </w:tcPr>
          <w:p w14:paraId="4AFDC590" w14:textId="1B000ED1" w:rsidR="00EA79B0" w:rsidRPr="00EA79B0" w:rsidRDefault="00870E9B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Information och v</w:t>
            </w:r>
            <w:r w:rsidR="00EA79B0" w:rsidRPr="00EA79B0">
              <w:rPr>
                <w:rFonts w:ascii="Georgia" w:hAnsi="Georgia" w:cstheme="majorHAnsi"/>
                <w:sz w:val="20"/>
              </w:rPr>
              <w:t>älkommen</w:t>
            </w:r>
            <w:r w:rsidR="00EA79B0">
              <w:rPr>
                <w:rFonts w:ascii="Georgia" w:hAnsi="Georgia" w:cstheme="majorHAnsi"/>
                <w:sz w:val="20"/>
              </w:rPr>
              <w:t>!</w:t>
            </w:r>
          </w:p>
        </w:tc>
        <w:tc>
          <w:tcPr>
            <w:tcW w:w="2960" w:type="dxa"/>
            <w:vAlign w:val="center"/>
          </w:tcPr>
          <w:p w14:paraId="0491047A" w14:textId="20BC2BC9" w:rsidR="00EA79B0" w:rsidRPr="001D1DEC" w:rsidRDefault="00870E9B" w:rsidP="00315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Viveka</w:t>
            </w:r>
            <w:r w:rsidR="00315C8F">
              <w:rPr>
                <w:rFonts w:ascii="Georgia" w:hAnsi="Georgia" w:cstheme="majorHAnsi"/>
                <w:sz w:val="20"/>
              </w:rPr>
              <w:t xml:space="preserve"> Hillegaart</w:t>
            </w:r>
            <w:r>
              <w:rPr>
                <w:rFonts w:ascii="Georgia" w:hAnsi="Georgia" w:cstheme="majorHAnsi"/>
                <w:sz w:val="20"/>
              </w:rPr>
              <w:t xml:space="preserve">, </w:t>
            </w:r>
            <w:r w:rsidR="00C67663">
              <w:rPr>
                <w:rFonts w:ascii="Georgia" w:hAnsi="Georgia" w:cstheme="majorHAnsi"/>
                <w:sz w:val="20"/>
              </w:rPr>
              <w:t>SCAW</w:t>
            </w:r>
            <w:r>
              <w:rPr>
                <w:rFonts w:ascii="Georgia" w:hAnsi="Georgia" w:cstheme="majorHAnsi"/>
                <w:sz w:val="20"/>
              </w:rPr>
              <w:t>, SLU</w:t>
            </w:r>
          </w:p>
        </w:tc>
      </w:tr>
      <w:tr w:rsidR="00E61499" w:rsidRPr="001D1DEC" w14:paraId="75653AA1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DB581F3" w14:textId="77777777" w:rsidR="00E61499" w:rsidRPr="001D1DEC" w:rsidRDefault="00E61499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10.00-10.20</w:t>
            </w:r>
          </w:p>
        </w:tc>
        <w:tc>
          <w:tcPr>
            <w:tcW w:w="4385" w:type="dxa"/>
            <w:vAlign w:val="center"/>
          </w:tcPr>
          <w:p w14:paraId="77470BD5" w14:textId="77777777" w:rsidR="00E61499" w:rsidRPr="001D1DEC" w:rsidRDefault="00920942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 xml:space="preserve">Risker med antibiotikaresistens för folk- och </w:t>
            </w:r>
            <w:r w:rsidR="0055390C">
              <w:rPr>
                <w:rFonts w:ascii="Georgia" w:hAnsi="Georgia" w:cstheme="majorHAnsi"/>
                <w:sz w:val="20"/>
              </w:rPr>
              <w:t>djurhälsa, förbrukningen inom EU</w:t>
            </w:r>
            <w:r w:rsidRPr="001D1DEC">
              <w:rPr>
                <w:rFonts w:ascii="Georgia" w:hAnsi="Georgia" w:cstheme="majorHAnsi"/>
                <w:sz w:val="20"/>
              </w:rPr>
              <w:t xml:space="preserve"> och globalt</w:t>
            </w:r>
          </w:p>
        </w:tc>
        <w:tc>
          <w:tcPr>
            <w:tcW w:w="2960" w:type="dxa"/>
            <w:vAlign w:val="center"/>
          </w:tcPr>
          <w:p w14:paraId="7B9DF24C" w14:textId="77777777" w:rsidR="00E61499" w:rsidRPr="001D1DEC" w:rsidRDefault="00FB3F7B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/>
                <w:sz w:val="20"/>
              </w:rPr>
              <w:t>Marie Sjölund, veterinär, SVA</w:t>
            </w:r>
          </w:p>
        </w:tc>
      </w:tr>
      <w:tr w:rsidR="00E61499" w:rsidRPr="001D1DEC" w14:paraId="2D12E124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4787176B" w14:textId="77777777" w:rsidR="00E61499" w:rsidRPr="001D1DEC" w:rsidRDefault="00E61499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10.20-10.40</w:t>
            </w:r>
          </w:p>
        </w:tc>
        <w:tc>
          <w:tcPr>
            <w:tcW w:w="4385" w:type="dxa"/>
            <w:vAlign w:val="center"/>
          </w:tcPr>
          <w:p w14:paraId="249A3120" w14:textId="77777777" w:rsidR="00E61499" w:rsidRPr="001D1DEC" w:rsidRDefault="00CF0EC1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 xml:space="preserve">Köttguiden och </w:t>
            </w:r>
            <w:proofErr w:type="spellStart"/>
            <w:r w:rsidRPr="001D1DEC">
              <w:rPr>
                <w:rFonts w:ascii="Georgia" w:hAnsi="Georgia" w:cstheme="majorHAnsi"/>
                <w:sz w:val="20"/>
              </w:rPr>
              <w:t>Fiskguiden</w:t>
            </w:r>
            <w:proofErr w:type="spellEnd"/>
          </w:p>
        </w:tc>
        <w:tc>
          <w:tcPr>
            <w:tcW w:w="2960" w:type="dxa"/>
            <w:vAlign w:val="center"/>
          </w:tcPr>
          <w:p w14:paraId="4A5B5684" w14:textId="77777777" w:rsidR="00E61499" w:rsidRPr="001D1DEC" w:rsidRDefault="00CF0EC1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Anna Richert, WWF</w:t>
            </w:r>
          </w:p>
        </w:tc>
      </w:tr>
      <w:tr w:rsidR="00E61499" w:rsidRPr="001D1DEC" w14:paraId="62F6D512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4853FE17" w14:textId="77777777" w:rsidR="00E61499" w:rsidRPr="001D1DEC" w:rsidRDefault="001626A3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10.40-11.00</w:t>
            </w:r>
          </w:p>
        </w:tc>
        <w:tc>
          <w:tcPr>
            <w:tcW w:w="4385" w:type="dxa"/>
            <w:vAlign w:val="center"/>
          </w:tcPr>
          <w:p w14:paraId="5947944B" w14:textId="52982F97" w:rsidR="00E61499" w:rsidRPr="001D1DEC" w:rsidRDefault="00E336CD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Hur definieras djurvälfärd och djurskydd</w:t>
            </w:r>
          </w:p>
        </w:tc>
        <w:tc>
          <w:tcPr>
            <w:tcW w:w="2960" w:type="dxa"/>
            <w:vAlign w:val="center"/>
          </w:tcPr>
          <w:p w14:paraId="2A10D637" w14:textId="5F1DF8D8" w:rsidR="00E61499" w:rsidRPr="001D1DEC" w:rsidRDefault="00E336CD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Linda Keeling, professor i djurskydd, SLU</w:t>
            </w:r>
          </w:p>
        </w:tc>
      </w:tr>
      <w:tr w:rsidR="001626A3" w:rsidRPr="001D1DEC" w14:paraId="4CD7F374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258EC41" w14:textId="77777777" w:rsidR="001626A3" w:rsidRPr="001D1DEC" w:rsidRDefault="001626A3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11.00-11.20</w:t>
            </w:r>
          </w:p>
        </w:tc>
        <w:tc>
          <w:tcPr>
            <w:tcW w:w="4385" w:type="dxa"/>
            <w:vAlign w:val="center"/>
          </w:tcPr>
          <w:p w14:paraId="186C55DA" w14:textId="33668FCB" w:rsidR="001626A3" w:rsidRPr="001D1DEC" w:rsidRDefault="00E336CD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Skillnad på djurskydd och djurskydd – Sverige vs. EU</w:t>
            </w:r>
          </w:p>
        </w:tc>
        <w:tc>
          <w:tcPr>
            <w:tcW w:w="2960" w:type="dxa"/>
            <w:vAlign w:val="center"/>
          </w:tcPr>
          <w:p w14:paraId="0F2656AD" w14:textId="60E8BE06" w:rsidR="001626A3" w:rsidRPr="001D1DEC" w:rsidRDefault="00E336CD" w:rsidP="00C6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Johan Lindsjö, veterinär, SCAW, SLU</w:t>
            </w:r>
          </w:p>
        </w:tc>
      </w:tr>
      <w:tr w:rsidR="001626A3" w:rsidRPr="001D1DEC" w14:paraId="78898676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02F30836" w14:textId="77777777" w:rsidR="001626A3" w:rsidRPr="001D1DEC" w:rsidRDefault="001626A3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11.20-11.40</w:t>
            </w:r>
          </w:p>
        </w:tc>
        <w:tc>
          <w:tcPr>
            <w:tcW w:w="4385" w:type="dxa"/>
            <w:vAlign w:val="center"/>
          </w:tcPr>
          <w:p w14:paraId="408EC467" w14:textId="77777777" w:rsidR="001626A3" w:rsidRPr="001D1DEC" w:rsidRDefault="001626A3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b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Livsmedelsfusk</w:t>
            </w:r>
          </w:p>
        </w:tc>
        <w:tc>
          <w:tcPr>
            <w:tcW w:w="2960" w:type="dxa"/>
            <w:vAlign w:val="center"/>
          </w:tcPr>
          <w:p w14:paraId="40117385" w14:textId="77777777" w:rsidR="001626A3" w:rsidRPr="001D1DEC" w:rsidRDefault="001626A3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Shwan Kareem, stadsveterinär, miljöförvaltningen Stockholm</w:t>
            </w:r>
          </w:p>
        </w:tc>
      </w:tr>
      <w:tr w:rsidR="001626A3" w:rsidRPr="001D1DEC" w14:paraId="27492C4C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4EF85234" w14:textId="77777777" w:rsidR="001626A3" w:rsidRPr="001D1DEC" w:rsidRDefault="001626A3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11.40-12.00</w:t>
            </w:r>
          </w:p>
        </w:tc>
        <w:tc>
          <w:tcPr>
            <w:tcW w:w="4385" w:type="dxa"/>
            <w:vAlign w:val="center"/>
          </w:tcPr>
          <w:p w14:paraId="2776801D" w14:textId="77777777" w:rsidR="001626A3" w:rsidRPr="001D1DEC" w:rsidRDefault="001626A3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b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Vad händer vid en livsmedelsskandal?</w:t>
            </w:r>
          </w:p>
        </w:tc>
        <w:tc>
          <w:tcPr>
            <w:tcW w:w="2960" w:type="dxa"/>
            <w:vAlign w:val="center"/>
          </w:tcPr>
          <w:p w14:paraId="081DAF9B" w14:textId="77777777" w:rsidR="001626A3" w:rsidRPr="001D1DEC" w:rsidRDefault="001626A3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color w:val="000000"/>
                <w:sz w:val="20"/>
              </w:rPr>
              <w:t>Louise Nyholm</w:t>
            </w:r>
            <w:r w:rsidRPr="001D1DEC">
              <w:rPr>
                <w:rFonts w:ascii="Georgia" w:hAnsi="Georgia" w:cstheme="majorHAnsi"/>
                <w:sz w:val="20"/>
              </w:rPr>
              <w:t>, veterinär,</w:t>
            </w:r>
          </w:p>
          <w:p w14:paraId="75E68354" w14:textId="77777777" w:rsidR="001626A3" w:rsidRPr="001D1DEC" w:rsidRDefault="001626A3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Livsmedelsverket</w:t>
            </w:r>
          </w:p>
        </w:tc>
      </w:tr>
      <w:tr w:rsidR="00FF0FE1" w:rsidRPr="001D1DEC" w14:paraId="7987ADE7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0EEC1" w:themeFill="accent5" w:themeFillTint="66"/>
            <w:vAlign w:val="center"/>
          </w:tcPr>
          <w:p w14:paraId="3D351FF9" w14:textId="77777777" w:rsidR="00FF0FE1" w:rsidRPr="001D1DEC" w:rsidRDefault="00FF0FE1" w:rsidP="0025757C">
            <w:pPr>
              <w:rPr>
                <w:rFonts w:ascii="Georgia" w:hAnsi="Georgia" w:cstheme="majorHAnsi"/>
                <w:sz w:val="20"/>
              </w:rPr>
            </w:pPr>
            <w:r w:rsidRPr="001D1DEC">
              <w:rPr>
                <w:rFonts w:ascii="Georgia" w:hAnsi="Georgia" w:cstheme="majorHAnsi"/>
                <w:sz w:val="20"/>
              </w:rPr>
              <w:t>12.00-13.00</w:t>
            </w:r>
          </w:p>
        </w:tc>
        <w:tc>
          <w:tcPr>
            <w:tcW w:w="7345" w:type="dxa"/>
            <w:gridSpan w:val="2"/>
            <w:shd w:val="clear" w:color="auto" w:fill="F0EEC1" w:themeFill="accent5" w:themeFillTint="66"/>
            <w:vAlign w:val="center"/>
          </w:tcPr>
          <w:p w14:paraId="5650EC57" w14:textId="2500E9C8" w:rsidR="00FF0FE1" w:rsidRPr="001D1DEC" w:rsidRDefault="00FF0FE1" w:rsidP="00FF0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b/>
                <w:sz w:val="20"/>
              </w:rPr>
              <w:t xml:space="preserve">                                            L U N C H</w:t>
            </w:r>
          </w:p>
        </w:tc>
      </w:tr>
      <w:tr w:rsidR="001626A3" w:rsidRPr="001D1DEC" w14:paraId="62E30AB0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65277120" w14:textId="61DC4C54" w:rsidR="001626A3" w:rsidRPr="001D1DEC" w:rsidRDefault="00B7367B" w:rsidP="0025757C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13.00-13.</w:t>
            </w:r>
            <w:r w:rsidR="008D7F9B">
              <w:rPr>
                <w:rFonts w:ascii="Georgia" w:hAnsi="Georgia" w:cstheme="majorHAnsi"/>
                <w:sz w:val="20"/>
              </w:rPr>
              <w:t>15</w:t>
            </w:r>
          </w:p>
        </w:tc>
        <w:tc>
          <w:tcPr>
            <w:tcW w:w="4385" w:type="dxa"/>
            <w:vAlign w:val="center"/>
          </w:tcPr>
          <w:p w14:paraId="69E5BFD4" w14:textId="550A8D15" w:rsidR="001626A3" w:rsidRPr="00B5104D" w:rsidRDefault="00085898" w:rsidP="00FF0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lang w:eastAsia="zh-CN"/>
              </w:rPr>
              <w:t>Om ursprungsmärkningen Från Sverige och efterfrågan på svenskt</w:t>
            </w:r>
          </w:p>
        </w:tc>
        <w:tc>
          <w:tcPr>
            <w:tcW w:w="2960" w:type="dxa"/>
            <w:vAlign w:val="center"/>
          </w:tcPr>
          <w:p w14:paraId="2DFD20E0" w14:textId="48D0BE60" w:rsidR="001626A3" w:rsidRPr="00B5104D" w:rsidRDefault="00EA79B0" w:rsidP="0025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Maria Forshufvud, Svenskmärkning</w:t>
            </w:r>
          </w:p>
        </w:tc>
      </w:tr>
      <w:tr w:rsidR="001626A3" w:rsidRPr="001D1DEC" w14:paraId="415FE694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B1DEF8F" w14:textId="0D81B97F" w:rsidR="001626A3" w:rsidRPr="001D1DEC" w:rsidRDefault="00B7367B" w:rsidP="0025757C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</w:t>
            </w:r>
            <w:r w:rsidR="008D7F9B">
              <w:rPr>
                <w:rFonts w:ascii="Georgia" w:hAnsi="Georgia" w:cstheme="majorHAnsi"/>
                <w:sz w:val="20"/>
              </w:rPr>
              <w:t>3.15-13.30</w:t>
            </w:r>
          </w:p>
        </w:tc>
        <w:tc>
          <w:tcPr>
            <w:tcW w:w="4385" w:type="dxa"/>
            <w:vAlign w:val="center"/>
          </w:tcPr>
          <w:p w14:paraId="609E3A41" w14:textId="2962E5B9" w:rsidR="00000485" w:rsidRPr="00B5104D" w:rsidRDefault="00EA79B0" w:rsidP="00EA7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Ekologiskt och KRAV</w:t>
            </w:r>
          </w:p>
        </w:tc>
        <w:tc>
          <w:tcPr>
            <w:tcW w:w="2960" w:type="dxa"/>
            <w:vAlign w:val="center"/>
          </w:tcPr>
          <w:p w14:paraId="312DB405" w14:textId="52F980D8" w:rsidR="001626A3" w:rsidRPr="00B5104D" w:rsidRDefault="00EA79B0" w:rsidP="0025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Carin Bolander, KRAV</w:t>
            </w:r>
          </w:p>
        </w:tc>
      </w:tr>
      <w:tr w:rsidR="006F09AD" w:rsidRPr="001D1DEC" w14:paraId="64F1149F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3D88637" w14:textId="6BD033DF" w:rsidR="006F09AD" w:rsidRDefault="006F09AD" w:rsidP="006F09AD">
            <w:pPr>
              <w:rPr>
                <w:rFonts w:ascii="Georgia" w:hAnsi="Georgia" w:cstheme="majorHAnsi"/>
                <w:sz w:val="20"/>
              </w:rPr>
            </w:pPr>
            <w:r w:rsidRPr="00B7367B">
              <w:rPr>
                <w:rFonts w:ascii="Georgia" w:hAnsi="Georgia" w:cstheme="majorHAnsi"/>
                <w:sz w:val="20"/>
              </w:rPr>
              <w:t>1</w:t>
            </w:r>
            <w:r>
              <w:rPr>
                <w:rFonts w:ascii="Georgia" w:hAnsi="Georgia" w:cstheme="majorHAnsi"/>
                <w:sz w:val="20"/>
              </w:rPr>
              <w:t>3.30-13.45</w:t>
            </w:r>
          </w:p>
        </w:tc>
        <w:tc>
          <w:tcPr>
            <w:tcW w:w="4385" w:type="dxa"/>
            <w:vAlign w:val="center"/>
          </w:tcPr>
          <w:p w14:paraId="54A1E284" w14:textId="72AB7DDE" w:rsidR="006F09AD" w:rsidRPr="00B5104D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Vilt som livsmedelsresurs</w:t>
            </w:r>
          </w:p>
        </w:tc>
        <w:tc>
          <w:tcPr>
            <w:tcW w:w="2960" w:type="dxa"/>
            <w:vAlign w:val="center"/>
          </w:tcPr>
          <w:p w14:paraId="617BC994" w14:textId="3808907B" w:rsidR="006F09AD" w:rsidRPr="00B5104D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Carl-Gustaf Thulin, docent, Institutionen för anatomi, fysiologi och biokemi, SLU</w:t>
            </w:r>
          </w:p>
        </w:tc>
      </w:tr>
      <w:tr w:rsidR="006F09AD" w:rsidRPr="001D1DEC" w14:paraId="666FDBE4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5FCF9753" w14:textId="40DE2736" w:rsidR="006F09AD" w:rsidRDefault="006F09AD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13.45-14.05</w:t>
            </w:r>
          </w:p>
        </w:tc>
        <w:tc>
          <w:tcPr>
            <w:tcW w:w="4385" w:type="dxa"/>
            <w:vAlign w:val="center"/>
          </w:tcPr>
          <w:p w14:paraId="39ED3DF1" w14:textId="0E61DFA6" w:rsidR="006F09AD" w:rsidRPr="00B5104D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iCs/>
                <w:sz w:val="20"/>
              </w:rPr>
              <w:t>Livsmedelsstrategin – Hur lanserar LRF svenska mervärden</w:t>
            </w:r>
          </w:p>
        </w:tc>
        <w:tc>
          <w:tcPr>
            <w:tcW w:w="2960" w:type="dxa"/>
            <w:vAlign w:val="center"/>
          </w:tcPr>
          <w:p w14:paraId="5D6E2AE1" w14:textId="2A1533D7" w:rsidR="006F09AD" w:rsidRPr="00B5104D" w:rsidRDefault="00075F8E" w:rsidP="0007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Auni Hamberg</w:t>
            </w:r>
            <w:bookmarkStart w:id="0" w:name="_GoBack"/>
            <w:bookmarkEnd w:id="0"/>
            <w:r w:rsidR="006F09AD" w:rsidRPr="00B5104D">
              <w:rPr>
                <w:rFonts w:ascii="Georgia" w:hAnsi="Georgia" w:cstheme="majorHAnsi"/>
                <w:sz w:val="20"/>
              </w:rPr>
              <w:t>, LRF</w:t>
            </w:r>
          </w:p>
        </w:tc>
      </w:tr>
      <w:tr w:rsidR="006F09AD" w:rsidRPr="001D1DEC" w14:paraId="1D7BB484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9A9F6CC" w14:textId="1C2E9D8B" w:rsidR="006F09AD" w:rsidRPr="00B7367B" w:rsidRDefault="00142C84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14.05-14.20</w:t>
            </w:r>
          </w:p>
        </w:tc>
        <w:tc>
          <w:tcPr>
            <w:tcW w:w="4385" w:type="dxa"/>
            <w:vAlign w:val="center"/>
          </w:tcPr>
          <w:p w14:paraId="486DD197" w14:textId="503F1E48" w:rsidR="006F09AD" w:rsidRPr="00B5104D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iCs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Varuplacering i butiken och vilka varor promotas i butiken – hur påverkas konsumenterna?</w:t>
            </w:r>
          </w:p>
        </w:tc>
        <w:tc>
          <w:tcPr>
            <w:tcW w:w="2960" w:type="dxa"/>
            <w:vAlign w:val="center"/>
          </w:tcPr>
          <w:p w14:paraId="380E73C2" w14:textId="2B024037" w:rsidR="006F09AD" w:rsidRPr="00B5104D" w:rsidRDefault="006F09AD" w:rsidP="00F8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 xml:space="preserve">Markus Wahlgren, </w:t>
            </w:r>
            <w:r w:rsidR="00F820CB">
              <w:rPr>
                <w:rFonts w:ascii="Georgia" w:hAnsi="Georgia" w:cstheme="majorHAnsi"/>
                <w:sz w:val="20"/>
              </w:rPr>
              <w:t>Butikschef, Gotland. (</w:t>
            </w:r>
            <w:r w:rsidR="00F820CB" w:rsidRPr="00F820CB">
              <w:rPr>
                <w:rFonts w:ascii="Georgia" w:hAnsi="Georgia" w:cstheme="majorHAnsi"/>
                <w:sz w:val="20"/>
              </w:rPr>
              <w:t xml:space="preserve">Hållbaraste butiken i Sverige enligt White Guide och </w:t>
            </w:r>
            <w:r w:rsidR="00F820CB">
              <w:rPr>
                <w:rFonts w:ascii="Georgia" w:hAnsi="Georgia" w:cstheme="majorHAnsi"/>
                <w:sz w:val="20"/>
              </w:rPr>
              <w:t>utnämnd till Å</w:t>
            </w:r>
            <w:r w:rsidR="00F820CB" w:rsidRPr="00F820CB">
              <w:rPr>
                <w:rFonts w:ascii="Georgia" w:hAnsi="Georgia" w:cstheme="majorHAnsi"/>
                <w:sz w:val="20"/>
              </w:rPr>
              <w:t>rets Butik</w:t>
            </w:r>
            <w:r w:rsidR="00C5395A">
              <w:rPr>
                <w:rFonts w:ascii="Georgia" w:hAnsi="Georgia" w:cstheme="majorHAnsi"/>
                <w:sz w:val="20"/>
              </w:rPr>
              <w:t xml:space="preserve"> 2019</w:t>
            </w:r>
            <w:r w:rsidR="00F820CB">
              <w:rPr>
                <w:rFonts w:ascii="Georgia" w:hAnsi="Georgia" w:cstheme="majorHAnsi"/>
                <w:sz w:val="20"/>
              </w:rPr>
              <w:t>)</w:t>
            </w:r>
          </w:p>
        </w:tc>
      </w:tr>
      <w:tr w:rsidR="006F09AD" w:rsidRPr="001D1DEC" w14:paraId="53B4D69F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21C390F5" w14:textId="48039F49" w:rsidR="006F09AD" w:rsidRDefault="00142C84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14.20</w:t>
            </w:r>
            <w:r w:rsidR="006F09AD" w:rsidRPr="001D1DEC">
              <w:rPr>
                <w:rFonts w:ascii="Georgia" w:hAnsi="Georgia" w:cstheme="majorHAnsi"/>
                <w:sz w:val="20"/>
              </w:rPr>
              <w:t>-1</w:t>
            </w:r>
            <w:r>
              <w:rPr>
                <w:rFonts w:ascii="Georgia" w:hAnsi="Georgia" w:cstheme="majorHAnsi"/>
                <w:sz w:val="20"/>
              </w:rPr>
              <w:t>4.40</w:t>
            </w:r>
          </w:p>
        </w:tc>
        <w:tc>
          <w:tcPr>
            <w:tcW w:w="4385" w:type="dxa"/>
            <w:vAlign w:val="center"/>
          </w:tcPr>
          <w:p w14:paraId="669CDDFE" w14:textId="7B548ED9" w:rsidR="006F09AD" w:rsidRPr="00B5104D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B5104D">
              <w:rPr>
                <w:rFonts w:ascii="Georgia" w:hAnsi="Georgia" w:cstheme="majorHAnsi"/>
                <w:sz w:val="20"/>
              </w:rPr>
              <w:t>Vad värdesätter svenska konsumenter?</w:t>
            </w:r>
          </w:p>
        </w:tc>
        <w:tc>
          <w:tcPr>
            <w:tcW w:w="2960" w:type="dxa"/>
            <w:vAlign w:val="center"/>
          </w:tcPr>
          <w:p w14:paraId="2AFD550E" w14:textId="75F9145D" w:rsidR="006F09AD" w:rsidRPr="00B5104D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proofErr w:type="spellStart"/>
            <w:r w:rsidRPr="00B5104D">
              <w:rPr>
                <w:rFonts w:ascii="Georgia" w:hAnsi="Georgia" w:cstheme="majorHAnsi"/>
                <w:sz w:val="20"/>
              </w:rPr>
              <w:t>Gunnela</w:t>
            </w:r>
            <w:proofErr w:type="spellEnd"/>
            <w:r w:rsidRPr="00B5104D">
              <w:rPr>
                <w:rFonts w:ascii="Georgia" w:hAnsi="Georgia" w:cstheme="majorHAnsi"/>
                <w:sz w:val="20"/>
              </w:rPr>
              <w:t xml:space="preserve"> Ståhle, Vi konsumenter</w:t>
            </w:r>
          </w:p>
        </w:tc>
      </w:tr>
      <w:tr w:rsidR="006F09AD" w:rsidRPr="001D1DEC" w14:paraId="49DB1260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0EEC1" w:themeFill="accent5" w:themeFillTint="66"/>
            <w:vAlign w:val="center"/>
          </w:tcPr>
          <w:p w14:paraId="1C5D1E44" w14:textId="21356A0A" w:rsidR="006F09AD" w:rsidRPr="001D1DEC" w:rsidRDefault="00142C84" w:rsidP="00142C84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14.40</w:t>
            </w:r>
            <w:r w:rsidR="006F09AD">
              <w:rPr>
                <w:rFonts w:ascii="Georgia" w:hAnsi="Georgia" w:cstheme="majorHAnsi"/>
                <w:sz w:val="20"/>
              </w:rPr>
              <w:t>-15.0</w:t>
            </w:r>
            <w:r>
              <w:rPr>
                <w:rFonts w:ascii="Georgia" w:hAnsi="Georgia" w:cstheme="majorHAnsi"/>
                <w:sz w:val="20"/>
              </w:rPr>
              <w:t>0</w:t>
            </w:r>
          </w:p>
        </w:tc>
        <w:tc>
          <w:tcPr>
            <w:tcW w:w="7345" w:type="dxa"/>
            <w:gridSpan w:val="2"/>
            <w:shd w:val="clear" w:color="auto" w:fill="F0EEC1" w:themeFill="accent5" w:themeFillTint="66"/>
            <w:vAlign w:val="center"/>
          </w:tcPr>
          <w:p w14:paraId="41A3F42C" w14:textId="44887650" w:rsidR="006F09AD" w:rsidRPr="001D1DEC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b/>
                <w:sz w:val="20"/>
              </w:rPr>
              <w:t xml:space="preserve">                                              </w:t>
            </w:r>
            <w:r w:rsidRPr="00C0410A">
              <w:rPr>
                <w:rFonts w:ascii="Georgia" w:hAnsi="Georgia" w:cstheme="majorHAnsi"/>
                <w:b/>
                <w:sz w:val="20"/>
              </w:rPr>
              <w:t>F</w:t>
            </w:r>
            <w:r>
              <w:rPr>
                <w:rFonts w:ascii="Georgia" w:hAnsi="Georgia" w:cstheme="majorHAnsi"/>
                <w:b/>
                <w:sz w:val="20"/>
              </w:rPr>
              <w:t xml:space="preserve"> </w:t>
            </w:r>
            <w:r w:rsidRPr="00C0410A">
              <w:rPr>
                <w:rFonts w:ascii="Georgia" w:hAnsi="Georgia" w:cstheme="majorHAnsi"/>
                <w:b/>
                <w:sz w:val="20"/>
              </w:rPr>
              <w:t>I</w:t>
            </w:r>
            <w:r>
              <w:rPr>
                <w:rFonts w:ascii="Georgia" w:hAnsi="Georgia" w:cstheme="majorHAnsi"/>
                <w:b/>
                <w:sz w:val="20"/>
              </w:rPr>
              <w:t xml:space="preserve"> </w:t>
            </w:r>
            <w:r w:rsidRPr="00C0410A">
              <w:rPr>
                <w:rFonts w:ascii="Georgia" w:hAnsi="Georgia" w:cstheme="majorHAnsi"/>
                <w:b/>
                <w:sz w:val="20"/>
              </w:rPr>
              <w:t>K</w:t>
            </w:r>
            <w:r>
              <w:rPr>
                <w:rFonts w:ascii="Georgia" w:hAnsi="Georgia" w:cstheme="majorHAnsi"/>
                <w:b/>
                <w:sz w:val="20"/>
              </w:rPr>
              <w:t xml:space="preserve"> </w:t>
            </w:r>
            <w:r w:rsidRPr="00C0410A">
              <w:rPr>
                <w:rFonts w:ascii="Georgia" w:hAnsi="Georgia" w:cstheme="majorHAnsi"/>
                <w:b/>
                <w:sz w:val="20"/>
              </w:rPr>
              <w:t>A</w:t>
            </w:r>
          </w:p>
        </w:tc>
      </w:tr>
      <w:tr w:rsidR="006F09AD" w:rsidRPr="001D1DEC" w14:paraId="4CF531DB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45CD745" w14:textId="1C5A3169" w:rsidR="006F09AD" w:rsidRPr="001D1DEC" w:rsidRDefault="006F09AD" w:rsidP="00142C84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15.0</w:t>
            </w:r>
            <w:r w:rsidR="00142C84">
              <w:rPr>
                <w:rFonts w:ascii="Georgia" w:hAnsi="Georgia" w:cstheme="majorHAnsi"/>
                <w:sz w:val="20"/>
              </w:rPr>
              <w:t>0</w:t>
            </w:r>
            <w:r>
              <w:rPr>
                <w:rFonts w:ascii="Georgia" w:hAnsi="Georgia" w:cstheme="majorHAnsi"/>
                <w:sz w:val="20"/>
              </w:rPr>
              <w:t>-15.2</w:t>
            </w:r>
            <w:r w:rsidR="00142C84">
              <w:rPr>
                <w:rFonts w:ascii="Georgia" w:hAnsi="Georgia" w:cstheme="majorHAnsi"/>
                <w:sz w:val="20"/>
              </w:rPr>
              <w:t>0</w:t>
            </w:r>
          </w:p>
        </w:tc>
        <w:tc>
          <w:tcPr>
            <w:tcW w:w="4385" w:type="dxa"/>
            <w:vAlign w:val="center"/>
          </w:tcPr>
          <w:p w14:paraId="28BB6F93" w14:textId="36E87625" w:rsidR="006F09AD" w:rsidRPr="001D1DEC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4738C8">
              <w:rPr>
                <w:rFonts w:ascii="Georgia" w:hAnsi="Georgia" w:cstheme="majorHAnsi"/>
                <w:iCs/>
                <w:sz w:val="20"/>
              </w:rPr>
              <w:t>Upphandlingsmyndighetens arbete med djurskydd och antibiotika</w:t>
            </w:r>
            <w:r w:rsidRPr="00127118">
              <w:rPr>
                <w:rFonts w:ascii="Georgia" w:hAnsi="Georgia" w:cstheme="majorHAnsi"/>
                <w:sz w:val="20"/>
              </w:rPr>
              <w:t xml:space="preserve"> </w:t>
            </w:r>
          </w:p>
        </w:tc>
        <w:tc>
          <w:tcPr>
            <w:tcW w:w="2960" w:type="dxa"/>
            <w:vAlign w:val="center"/>
          </w:tcPr>
          <w:p w14:paraId="39B41778" w14:textId="07390A05" w:rsidR="006F09AD" w:rsidRPr="001D1DEC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27118">
              <w:rPr>
                <w:rFonts w:ascii="Georgia" w:hAnsi="Georgia" w:cstheme="majorHAnsi"/>
                <w:sz w:val="20"/>
              </w:rPr>
              <w:t>Helena Robling</w:t>
            </w:r>
            <w:r>
              <w:rPr>
                <w:rFonts w:ascii="Georgia" w:hAnsi="Georgia" w:cstheme="majorHAnsi"/>
                <w:sz w:val="20"/>
              </w:rPr>
              <w:t>, U</w:t>
            </w:r>
            <w:r w:rsidRPr="00127118">
              <w:rPr>
                <w:rFonts w:ascii="Georgia" w:hAnsi="Georgia" w:cstheme="majorHAnsi"/>
                <w:sz w:val="20"/>
              </w:rPr>
              <w:t xml:space="preserve">pphandlingsmyndigheten </w:t>
            </w:r>
          </w:p>
        </w:tc>
      </w:tr>
      <w:tr w:rsidR="006F09AD" w:rsidRPr="001D1DEC" w14:paraId="69D0B7E2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2C8D6FD6" w14:textId="142CFA3B" w:rsidR="006F09AD" w:rsidRDefault="006F09AD" w:rsidP="00142C84">
            <w:pPr>
              <w:rPr>
                <w:rFonts w:ascii="Georgia" w:hAnsi="Georgia" w:cstheme="majorHAnsi"/>
                <w:sz w:val="20"/>
              </w:rPr>
            </w:pPr>
            <w:r w:rsidRPr="00694409">
              <w:rPr>
                <w:rFonts w:ascii="Georgia" w:hAnsi="Georgia" w:cstheme="majorHAnsi"/>
                <w:sz w:val="20"/>
              </w:rPr>
              <w:t>15.2</w:t>
            </w:r>
            <w:r w:rsidR="00142C84">
              <w:rPr>
                <w:rFonts w:ascii="Georgia" w:hAnsi="Georgia" w:cstheme="majorHAnsi"/>
                <w:sz w:val="20"/>
              </w:rPr>
              <w:t>0</w:t>
            </w:r>
            <w:r w:rsidRPr="00694409">
              <w:rPr>
                <w:rFonts w:ascii="Georgia" w:hAnsi="Georgia" w:cstheme="majorHAnsi"/>
                <w:sz w:val="20"/>
              </w:rPr>
              <w:t>-15.40</w:t>
            </w:r>
          </w:p>
        </w:tc>
        <w:tc>
          <w:tcPr>
            <w:tcW w:w="4385" w:type="dxa"/>
            <w:vAlign w:val="center"/>
          </w:tcPr>
          <w:p w14:paraId="4908318B" w14:textId="7B256F7C" w:rsidR="006F09AD" w:rsidRPr="00127118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27118">
              <w:rPr>
                <w:rFonts w:ascii="Georgia" w:hAnsi="Georgia" w:cstheme="majorHAnsi"/>
                <w:sz w:val="20"/>
              </w:rPr>
              <w:t>Kommunernas utmaningar och framgångsrecept</w:t>
            </w:r>
          </w:p>
        </w:tc>
        <w:tc>
          <w:tcPr>
            <w:tcW w:w="2960" w:type="dxa"/>
            <w:vAlign w:val="center"/>
          </w:tcPr>
          <w:p w14:paraId="5A61824D" w14:textId="5A29144E" w:rsidR="006F09AD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Sara Jervfors, Kostchef, Södertälje kommun</w:t>
            </w:r>
          </w:p>
        </w:tc>
      </w:tr>
      <w:tr w:rsidR="006F09AD" w:rsidRPr="001D1DEC" w14:paraId="3FF48B4B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1C4BBCC6" w14:textId="2D946009" w:rsidR="006F09AD" w:rsidRDefault="006F09AD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15.40-16.0</w:t>
            </w:r>
            <w:r w:rsidRPr="00127118">
              <w:rPr>
                <w:rFonts w:ascii="Georgia" w:hAnsi="Georgia" w:cstheme="majorHAnsi"/>
                <w:sz w:val="20"/>
              </w:rPr>
              <w:t>0</w:t>
            </w:r>
          </w:p>
        </w:tc>
        <w:tc>
          <w:tcPr>
            <w:tcW w:w="4385" w:type="dxa"/>
            <w:vAlign w:val="center"/>
          </w:tcPr>
          <w:p w14:paraId="2095A616" w14:textId="4D5C3D01" w:rsidR="006F09AD" w:rsidRPr="00127118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Regionernas</w:t>
            </w:r>
            <w:r w:rsidRPr="00127118">
              <w:rPr>
                <w:rFonts w:ascii="Georgia" w:hAnsi="Georgia" w:cstheme="majorHAnsi"/>
                <w:sz w:val="20"/>
              </w:rPr>
              <w:t xml:space="preserve"> utmaning</w:t>
            </w:r>
            <w:r>
              <w:rPr>
                <w:rFonts w:ascii="Georgia" w:hAnsi="Georgia" w:cstheme="majorHAnsi"/>
                <w:sz w:val="20"/>
              </w:rPr>
              <w:t>ar</w:t>
            </w:r>
            <w:r w:rsidRPr="00127118">
              <w:rPr>
                <w:rFonts w:ascii="Georgia" w:hAnsi="Georgia" w:cstheme="majorHAnsi"/>
                <w:sz w:val="20"/>
              </w:rPr>
              <w:t xml:space="preserve"> och framgångsrecept</w:t>
            </w:r>
          </w:p>
        </w:tc>
        <w:tc>
          <w:tcPr>
            <w:tcW w:w="2960" w:type="dxa"/>
            <w:vAlign w:val="center"/>
          </w:tcPr>
          <w:p w14:paraId="28116FA3" w14:textId="4686CEF6" w:rsidR="006F09AD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27118">
              <w:rPr>
                <w:rFonts w:ascii="Georgia" w:hAnsi="Georgia" w:cstheme="majorHAnsi"/>
                <w:sz w:val="20"/>
              </w:rPr>
              <w:t xml:space="preserve">Jenny Lundström, </w:t>
            </w:r>
            <w:r>
              <w:rPr>
                <w:rFonts w:ascii="Georgia" w:hAnsi="Georgia" w:cstheme="majorHAnsi"/>
                <w:sz w:val="20"/>
              </w:rPr>
              <w:t>kommun- och region</w:t>
            </w:r>
            <w:r w:rsidRPr="00127118">
              <w:rPr>
                <w:rFonts w:ascii="Georgia" w:hAnsi="Georgia" w:cstheme="majorHAnsi"/>
                <w:sz w:val="20"/>
              </w:rPr>
              <w:t>politiker, mp, Uppsala län</w:t>
            </w:r>
          </w:p>
        </w:tc>
      </w:tr>
      <w:tr w:rsidR="006F09AD" w:rsidRPr="001D1DEC" w14:paraId="464D7E54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5868189" w14:textId="6E643762" w:rsidR="006F09AD" w:rsidRPr="00694409" w:rsidRDefault="006F09AD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16.00-16.20</w:t>
            </w:r>
          </w:p>
        </w:tc>
        <w:tc>
          <w:tcPr>
            <w:tcW w:w="4385" w:type="dxa"/>
            <w:vAlign w:val="center"/>
          </w:tcPr>
          <w:p w14:paraId="442462F3" w14:textId="0F0933B3" w:rsidR="006F09AD" w:rsidRPr="00694409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27118">
              <w:rPr>
                <w:rFonts w:ascii="Georgia" w:hAnsi="Georgia" w:cstheme="majorHAnsi"/>
                <w:sz w:val="20"/>
              </w:rPr>
              <w:t>Mattanken</w:t>
            </w:r>
          </w:p>
        </w:tc>
        <w:tc>
          <w:tcPr>
            <w:tcW w:w="2960" w:type="dxa"/>
            <w:vAlign w:val="center"/>
          </w:tcPr>
          <w:p w14:paraId="42F4D99F" w14:textId="32421020" w:rsidR="006F09AD" w:rsidRPr="00694409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 w:rsidRPr="00127118">
              <w:rPr>
                <w:rFonts w:ascii="Georgia" w:hAnsi="Georgia" w:cstheme="majorHAnsi"/>
                <w:sz w:val="20"/>
              </w:rPr>
              <w:t>Eva Sundberg, Jordbruksverket</w:t>
            </w:r>
          </w:p>
        </w:tc>
      </w:tr>
      <w:tr w:rsidR="006F09AD" w:rsidRPr="001D1DEC" w14:paraId="6DD3C3EF" w14:textId="77777777" w:rsidTr="0069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65B002C5" w14:textId="045CCF86" w:rsidR="006F09AD" w:rsidRPr="001D1DEC" w:rsidRDefault="006F09AD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16.20-17.00</w:t>
            </w:r>
          </w:p>
        </w:tc>
        <w:tc>
          <w:tcPr>
            <w:tcW w:w="4385" w:type="dxa"/>
            <w:vAlign w:val="center"/>
          </w:tcPr>
          <w:p w14:paraId="2C6738A7" w14:textId="77777777" w:rsidR="006F09AD" w:rsidRPr="00127118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 xml:space="preserve">Avslutande </w:t>
            </w:r>
            <w:r w:rsidRPr="002337EB">
              <w:rPr>
                <w:rFonts w:ascii="Georgia" w:hAnsi="Georgia" w:cstheme="majorHAnsi"/>
                <w:sz w:val="20"/>
              </w:rPr>
              <w:t>paneldebatt/frågepanel</w:t>
            </w:r>
          </w:p>
        </w:tc>
        <w:tc>
          <w:tcPr>
            <w:tcW w:w="2960" w:type="dxa"/>
            <w:vAlign w:val="center"/>
          </w:tcPr>
          <w:p w14:paraId="0EF52687" w14:textId="41947C7F" w:rsidR="006F09AD" w:rsidRPr="00127118" w:rsidRDefault="006F09AD" w:rsidP="006F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 xml:space="preserve">Leds av Margareta </w:t>
            </w:r>
            <w:proofErr w:type="spellStart"/>
            <w:r>
              <w:rPr>
                <w:rFonts w:ascii="Georgia" w:hAnsi="Georgia" w:cstheme="majorHAnsi"/>
                <w:sz w:val="20"/>
              </w:rPr>
              <w:t>Stéen</w:t>
            </w:r>
            <w:proofErr w:type="spellEnd"/>
            <w:r>
              <w:rPr>
                <w:rFonts w:ascii="Georgia" w:hAnsi="Georgia" w:cstheme="majorHAnsi"/>
                <w:sz w:val="20"/>
              </w:rPr>
              <w:t>, SCAW, SLU</w:t>
            </w:r>
          </w:p>
        </w:tc>
      </w:tr>
      <w:tr w:rsidR="006F09AD" w:rsidRPr="001D1DEC" w14:paraId="44A74D92" w14:textId="77777777" w:rsidTr="0069440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0EEC1" w:themeFill="accent5" w:themeFillTint="66"/>
            <w:vAlign w:val="center"/>
          </w:tcPr>
          <w:p w14:paraId="70109F2F" w14:textId="77777777" w:rsidR="006F09AD" w:rsidRPr="001D1DEC" w:rsidRDefault="006F09AD" w:rsidP="006F09AD">
            <w:pPr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sz w:val="20"/>
              </w:rPr>
              <w:t>17.00</w:t>
            </w:r>
          </w:p>
        </w:tc>
        <w:tc>
          <w:tcPr>
            <w:tcW w:w="7345" w:type="dxa"/>
            <w:gridSpan w:val="2"/>
            <w:shd w:val="clear" w:color="auto" w:fill="F0EEC1" w:themeFill="accent5" w:themeFillTint="66"/>
            <w:vAlign w:val="center"/>
          </w:tcPr>
          <w:p w14:paraId="4ABCB638" w14:textId="086A08EA" w:rsidR="006F09AD" w:rsidRPr="001D1DEC" w:rsidRDefault="006F09AD" w:rsidP="006F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ajorHAnsi"/>
                <w:sz w:val="20"/>
              </w:rPr>
            </w:pPr>
            <w:r>
              <w:rPr>
                <w:rFonts w:ascii="Georgia" w:hAnsi="Georgia" w:cstheme="majorHAnsi"/>
                <w:b/>
                <w:sz w:val="20"/>
              </w:rPr>
              <w:t xml:space="preserve">                                         A V S L U T</w:t>
            </w:r>
          </w:p>
        </w:tc>
      </w:tr>
    </w:tbl>
    <w:p w14:paraId="6157C1F7" w14:textId="77777777" w:rsidR="007D4D7A" w:rsidRPr="00CD2C5F" w:rsidRDefault="007D4D7A" w:rsidP="00FF0FE1">
      <w:pPr>
        <w:rPr>
          <w:rFonts w:ascii="Georgia" w:hAnsi="Georgia" w:cstheme="majorHAnsi"/>
        </w:rPr>
      </w:pPr>
    </w:p>
    <w:sectPr w:rsidR="007D4D7A" w:rsidRPr="00CD2C5F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8233" w14:textId="77777777" w:rsidR="00FF0FE1" w:rsidRDefault="00FF0FE1" w:rsidP="00B65B3A">
      <w:pPr>
        <w:spacing w:after="0" w:line="240" w:lineRule="auto"/>
      </w:pPr>
      <w:r>
        <w:separator/>
      </w:r>
    </w:p>
    <w:p w14:paraId="56AEB2E5" w14:textId="77777777" w:rsidR="00FF0FE1" w:rsidRDefault="00FF0FE1"/>
  </w:endnote>
  <w:endnote w:type="continuationSeparator" w:id="0">
    <w:p w14:paraId="552E82A9" w14:textId="77777777" w:rsidR="00FF0FE1" w:rsidRDefault="00FF0FE1" w:rsidP="00B65B3A">
      <w:pPr>
        <w:spacing w:after="0" w:line="240" w:lineRule="auto"/>
      </w:pPr>
      <w:r>
        <w:continuationSeparator/>
      </w:r>
    </w:p>
    <w:p w14:paraId="745766A2" w14:textId="77777777" w:rsidR="00FF0FE1" w:rsidRDefault="00FF0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66EA" w14:textId="77777777" w:rsidR="00FF0FE1" w:rsidRDefault="00FF0FE1" w:rsidP="00B65B3A">
      <w:pPr>
        <w:spacing w:after="0" w:line="240" w:lineRule="auto"/>
      </w:pPr>
      <w:r>
        <w:separator/>
      </w:r>
    </w:p>
  </w:footnote>
  <w:footnote w:type="continuationSeparator" w:id="0">
    <w:p w14:paraId="6DE9D72B" w14:textId="77777777" w:rsidR="00FF0FE1" w:rsidRDefault="00FF0FE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F849" w14:textId="77777777" w:rsidR="00FF0FE1" w:rsidRDefault="00FF0FE1" w:rsidP="00B65B3A">
    <w:pPr>
      <w:pStyle w:val="Header"/>
      <w:spacing w:before="240" w:after="276"/>
    </w:pPr>
  </w:p>
  <w:p w14:paraId="60FDCA88" w14:textId="77777777" w:rsidR="00FF0FE1" w:rsidRDefault="00FF0FE1" w:rsidP="00B65B3A">
    <w:pPr>
      <w:spacing w:after="276"/>
    </w:pPr>
  </w:p>
  <w:p w14:paraId="034F9E39" w14:textId="77777777" w:rsidR="00FF0FE1" w:rsidRDefault="00FF0FE1"/>
  <w:p w14:paraId="2075A9E1" w14:textId="77777777" w:rsidR="00FF0FE1" w:rsidRDefault="00FF0F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AF78" w14:textId="77777777" w:rsidR="00FF0FE1" w:rsidRPr="00B30794" w:rsidRDefault="00FF0FE1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6D"/>
    <w:rsid w:val="00000485"/>
    <w:rsid w:val="00002EF2"/>
    <w:rsid w:val="00005D8A"/>
    <w:rsid w:val="00017EE8"/>
    <w:rsid w:val="00017F5C"/>
    <w:rsid w:val="0002287F"/>
    <w:rsid w:val="0003125C"/>
    <w:rsid w:val="0005173A"/>
    <w:rsid w:val="00053E90"/>
    <w:rsid w:val="00075F8E"/>
    <w:rsid w:val="00085898"/>
    <w:rsid w:val="0009005E"/>
    <w:rsid w:val="000D0FE3"/>
    <w:rsid w:val="000F331D"/>
    <w:rsid w:val="000F36AF"/>
    <w:rsid w:val="000F5E03"/>
    <w:rsid w:val="00103760"/>
    <w:rsid w:val="001231E4"/>
    <w:rsid w:val="00127118"/>
    <w:rsid w:val="001406CC"/>
    <w:rsid w:val="001414D6"/>
    <w:rsid w:val="00142C84"/>
    <w:rsid w:val="00144ACD"/>
    <w:rsid w:val="00146A8B"/>
    <w:rsid w:val="00152C1E"/>
    <w:rsid w:val="00153304"/>
    <w:rsid w:val="001626A3"/>
    <w:rsid w:val="0019274D"/>
    <w:rsid w:val="00196B58"/>
    <w:rsid w:val="001A1F63"/>
    <w:rsid w:val="001B1228"/>
    <w:rsid w:val="001B155A"/>
    <w:rsid w:val="001C3335"/>
    <w:rsid w:val="001D1DEC"/>
    <w:rsid w:val="001E0C17"/>
    <w:rsid w:val="001E42BE"/>
    <w:rsid w:val="002040EB"/>
    <w:rsid w:val="002169D8"/>
    <w:rsid w:val="00227094"/>
    <w:rsid w:val="0023313A"/>
    <w:rsid w:val="002337EB"/>
    <w:rsid w:val="002472F4"/>
    <w:rsid w:val="00254101"/>
    <w:rsid w:val="0025757C"/>
    <w:rsid w:val="00265D48"/>
    <w:rsid w:val="00266BE1"/>
    <w:rsid w:val="002817AF"/>
    <w:rsid w:val="00286659"/>
    <w:rsid w:val="002963E1"/>
    <w:rsid w:val="002E6AE3"/>
    <w:rsid w:val="003152C4"/>
    <w:rsid w:val="00315C8F"/>
    <w:rsid w:val="00316A97"/>
    <w:rsid w:val="0032616C"/>
    <w:rsid w:val="00337BF1"/>
    <w:rsid w:val="00346952"/>
    <w:rsid w:val="00372F6D"/>
    <w:rsid w:val="00373994"/>
    <w:rsid w:val="003819B9"/>
    <w:rsid w:val="00384C8B"/>
    <w:rsid w:val="003B2F68"/>
    <w:rsid w:val="003B5AF6"/>
    <w:rsid w:val="003E5DF0"/>
    <w:rsid w:val="003F5B99"/>
    <w:rsid w:val="00417F51"/>
    <w:rsid w:val="004210DE"/>
    <w:rsid w:val="004227D9"/>
    <w:rsid w:val="00426CA6"/>
    <w:rsid w:val="004332BF"/>
    <w:rsid w:val="004343E5"/>
    <w:rsid w:val="0044043B"/>
    <w:rsid w:val="0045434E"/>
    <w:rsid w:val="00463513"/>
    <w:rsid w:val="004738C8"/>
    <w:rsid w:val="00474A82"/>
    <w:rsid w:val="00494F2C"/>
    <w:rsid w:val="004B6550"/>
    <w:rsid w:val="004E0215"/>
    <w:rsid w:val="004F2696"/>
    <w:rsid w:val="004F59E6"/>
    <w:rsid w:val="00505276"/>
    <w:rsid w:val="00511FFD"/>
    <w:rsid w:val="00521C3B"/>
    <w:rsid w:val="0052484B"/>
    <w:rsid w:val="005267B8"/>
    <w:rsid w:val="0052729F"/>
    <w:rsid w:val="00531D1A"/>
    <w:rsid w:val="0055390C"/>
    <w:rsid w:val="00574CAE"/>
    <w:rsid w:val="005B043C"/>
    <w:rsid w:val="005B5620"/>
    <w:rsid w:val="006018D4"/>
    <w:rsid w:val="006049CB"/>
    <w:rsid w:val="00606539"/>
    <w:rsid w:val="0060679E"/>
    <w:rsid w:val="006114A3"/>
    <w:rsid w:val="006323DC"/>
    <w:rsid w:val="00633F86"/>
    <w:rsid w:val="00652C25"/>
    <w:rsid w:val="00657B7E"/>
    <w:rsid w:val="00667F3C"/>
    <w:rsid w:val="00694409"/>
    <w:rsid w:val="00695E24"/>
    <w:rsid w:val="006C5E84"/>
    <w:rsid w:val="006C7BA1"/>
    <w:rsid w:val="006C7EEC"/>
    <w:rsid w:val="006C7EF6"/>
    <w:rsid w:val="006E4110"/>
    <w:rsid w:val="006F09AD"/>
    <w:rsid w:val="006F223F"/>
    <w:rsid w:val="007002D7"/>
    <w:rsid w:val="00706F56"/>
    <w:rsid w:val="00707ACA"/>
    <w:rsid w:val="007121F4"/>
    <w:rsid w:val="007212EF"/>
    <w:rsid w:val="007502DB"/>
    <w:rsid w:val="0076274F"/>
    <w:rsid w:val="0077745B"/>
    <w:rsid w:val="00780245"/>
    <w:rsid w:val="00796EB5"/>
    <w:rsid w:val="007B14B8"/>
    <w:rsid w:val="007D4D7A"/>
    <w:rsid w:val="007E4639"/>
    <w:rsid w:val="007E47DA"/>
    <w:rsid w:val="007F3F68"/>
    <w:rsid w:val="007F6F9B"/>
    <w:rsid w:val="00827D92"/>
    <w:rsid w:val="00843EA7"/>
    <w:rsid w:val="0084674F"/>
    <w:rsid w:val="00857C8C"/>
    <w:rsid w:val="00862510"/>
    <w:rsid w:val="00864EFB"/>
    <w:rsid w:val="00870E9B"/>
    <w:rsid w:val="00890B5B"/>
    <w:rsid w:val="008B35B5"/>
    <w:rsid w:val="008C7FA3"/>
    <w:rsid w:val="008D6122"/>
    <w:rsid w:val="008D7F9B"/>
    <w:rsid w:val="008E2971"/>
    <w:rsid w:val="008E2C57"/>
    <w:rsid w:val="008E724E"/>
    <w:rsid w:val="008F24D9"/>
    <w:rsid w:val="008F4FE8"/>
    <w:rsid w:val="009109E8"/>
    <w:rsid w:val="00920942"/>
    <w:rsid w:val="009662BC"/>
    <w:rsid w:val="009B0AC6"/>
    <w:rsid w:val="009D0A3C"/>
    <w:rsid w:val="009D7D14"/>
    <w:rsid w:val="00A07925"/>
    <w:rsid w:val="00A22A18"/>
    <w:rsid w:val="00A47A74"/>
    <w:rsid w:val="00A73167"/>
    <w:rsid w:val="00A807FF"/>
    <w:rsid w:val="00A82303"/>
    <w:rsid w:val="00A8595D"/>
    <w:rsid w:val="00AA5A49"/>
    <w:rsid w:val="00AC0BC2"/>
    <w:rsid w:val="00AD1A0A"/>
    <w:rsid w:val="00AF30B4"/>
    <w:rsid w:val="00AF5948"/>
    <w:rsid w:val="00B03771"/>
    <w:rsid w:val="00B30794"/>
    <w:rsid w:val="00B45A11"/>
    <w:rsid w:val="00B47261"/>
    <w:rsid w:val="00B5104D"/>
    <w:rsid w:val="00B54D19"/>
    <w:rsid w:val="00B65B3A"/>
    <w:rsid w:val="00B7367B"/>
    <w:rsid w:val="00B93BFB"/>
    <w:rsid w:val="00BA0E41"/>
    <w:rsid w:val="00BD281F"/>
    <w:rsid w:val="00BD5DB2"/>
    <w:rsid w:val="00BF1046"/>
    <w:rsid w:val="00BF5EBE"/>
    <w:rsid w:val="00C0410A"/>
    <w:rsid w:val="00C07176"/>
    <w:rsid w:val="00C23B32"/>
    <w:rsid w:val="00C26923"/>
    <w:rsid w:val="00C32D4B"/>
    <w:rsid w:val="00C32E09"/>
    <w:rsid w:val="00C5395A"/>
    <w:rsid w:val="00C56D4E"/>
    <w:rsid w:val="00C62AB9"/>
    <w:rsid w:val="00C640CB"/>
    <w:rsid w:val="00C67663"/>
    <w:rsid w:val="00C84384"/>
    <w:rsid w:val="00C87604"/>
    <w:rsid w:val="00CB5720"/>
    <w:rsid w:val="00CB57EA"/>
    <w:rsid w:val="00CC31D7"/>
    <w:rsid w:val="00CC6DF1"/>
    <w:rsid w:val="00CD2C5F"/>
    <w:rsid w:val="00CD410A"/>
    <w:rsid w:val="00CF0EC1"/>
    <w:rsid w:val="00D00E93"/>
    <w:rsid w:val="00D65A45"/>
    <w:rsid w:val="00D66C4B"/>
    <w:rsid w:val="00D83999"/>
    <w:rsid w:val="00DA7B33"/>
    <w:rsid w:val="00DB02E7"/>
    <w:rsid w:val="00DB1B25"/>
    <w:rsid w:val="00DB380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336CD"/>
    <w:rsid w:val="00E5258F"/>
    <w:rsid w:val="00E61499"/>
    <w:rsid w:val="00EA070B"/>
    <w:rsid w:val="00EA79B0"/>
    <w:rsid w:val="00F05B25"/>
    <w:rsid w:val="00F07526"/>
    <w:rsid w:val="00F171CE"/>
    <w:rsid w:val="00F240C5"/>
    <w:rsid w:val="00F35FDB"/>
    <w:rsid w:val="00F36535"/>
    <w:rsid w:val="00F370B7"/>
    <w:rsid w:val="00F429E3"/>
    <w:rsid w:val="00F616DB"/>
    <w:rsid w:val="00F74F50"/>
    <w:rsid w:val="00F820CB"/>
    <w:rsid w:val="00F96F2A"/>
    <w:rsid w:val="00F97B62"/>
    <w:rsid w:val="00FB3F7B"/>
    <w:rsid w:val="00FD0A11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9DAFD0"/>
  <w15:docId w15:val="{AEFC547F-752A-4E83-BB92-C175C06E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8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F8E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5F8E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F8E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75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075F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5F8E"/>
  </w:style>
  <w:style w:type="character" w:customStyle="1" w:styleId="Heading1Char">
    <w:name w:val="Heading 1 Char"/>
    <w:basedOn w:val="DefaultParagraphFont"/>
    <w:link w:val="Heading1"/>
    <w:uiPriority w:val="9"/>
    <w:rsid w:val="00075F8E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F8E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F8E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075F8E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075F8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075F8E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5F8E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075F8E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5F8E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075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075F8E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075F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075F8E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075F8E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075F8E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075F8E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075F8E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075F8E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075F8E"/>
    <w:rPr>
      <w:i/>
      <w:iCs/>
    </w:rPr>
  </w:style>
  <w:style w:type="paragraph" w:styleId="TOC4">
    <w:name w:val="toc 4"/>
    <w:basedOn w:val="Normal"/>
    <w:next w:val="Normal"/>
    <w:uiPriority w:val="99"/>
    <w:semiHidden/>
    <w:rsid w:val="00075F8E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075F8E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075F8E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075F8E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075F8E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075F8E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075F8E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075F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075F8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075F8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075F8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075F8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075F8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075F8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075F8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75F8E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75F8E"/>
    <w:pPr>
      <w:ind w:right="4111"/>
    </w:pPr>
  </w:style>
  <w:style w:type="character" w:styleId="Strong">
    <w:name w:val="Strong"/>
    <w:basedOn w:val="DefaultParagraphFont"/>
    <w:uiPriority w:val="1"/>
    <w:rsid w:val="00075F8E"/>
    <w:rPr>
      <w:b/>
      <w:bCs/>
    </w:rPr>
  </w:style>
  <w:style w:type="table" w:customStyle="1" w:styleId="Sidfottabell">
    <w:name w:val="Sidfot tabell"/>
    <w:basedOn w:val="TableNormal"/>
    <w:uiPriority w:val="99"/>
    <w:rsid w:val="00075F8E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75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F8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F8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075F8E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075F8E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075F8E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075F8E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75F8E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075F8E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075F8E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075F8E"/>
    <w:pPr>
      <w:numPr>
        <w:numId w:val="3"/>
      </w:numPr>
      <w:contextualSpacing/>
    </w:pPr>
  </w:style>
  <w:style w:type="table" w:customStyle="1" w:styleId="GridTable4-Accent21">
    <w:name w:val="Grid Table 4 - Accent 21"/>
    <w:basedOn w:val="TableNormal"/>
    <w:uiPriority w:val="49"/>
    <w:rsid w:val="00372F6D"/>
    <w:pPr>
      <w:spacing w:after="0" w:line="240" w:lineRule="auto"/>
    </w:pPr>
    <w:tblPr>
      <w:tblStyleRowBandSize w:val="1"/>
      <w:tblStyleColBandSize w:val="1"/>
      <w:tblBorders>
        <w:top w:val="single" w:sz="4" w:space="0" w:color="FFC44B" w:themeColor="accent2" w:themeTint="99"/>
        <w:left w:val="single" w:sz="4" w:space="0" w:color="FFC44B" w:themeColor="accent2" w:themeTint="99"/>
        <w:bottom w:val="single" w:sz="4" w:space="0" w:color="FFC44B" w:themeColor="accent2" w:themeTint="99"/>
        <w:right w:val="single" w:sz="4" w:space="0" w:color="FFC44B" w:themeColor="accent2" w:themeTint="99"/>
        <w:insideH w:val="single" w:sz="4" w:space="0" w:color="FFC44B" w:themeColor="accent2" w:themeTint="99"/>
        <w:insideV w:val="single" w:sz="4" w:space="0" w:color="FFC44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8E00" w:themeColor="accent2"/>
          <w:left w:val="single" w:sz="4" w:space="0" w:color="D28E00" w:themeColor="accent2"/>
          <w:bottom w:val="single" w:sz="4" w:space="0" w:color="D28E00" w:themeColor="accent2"/>
          <w:right w:val="single" w:sz="4" w:space="0" w:color="D28E00" w:themeColor="accent2"/>
          <w:insideH w:val="nil"/>
          <w:insideV w:val="nil"/>
        </w:tcBorders>
        <w:shd w:val="clear" w:color="auto" w:fill="D28E00" w:themeFill="accent2"/>
      </w:tcPr>
    </w:tblStylePr>
    <w:tblStylePr w:type="lastRow">
      <w:rPr>
        <w:b/>
        <w:bCs/>
      </w:rPr>
      <w:tblPr/>
      <w:tcPr>
        <w:tcBorders>
          <w:top w:val="double" w:sz="4" w:space="0" w:color="D2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3" w:themeFill="accent2" w:themeFillTint="33"/>
      </w:tcPr>
    </w:tblStylePr>
    <w:tblStylePr w:type="band1Horz">
      <w:tblPr/>
      <w:tcPr>
        <w:shd w:val="clear" w:color="auto" w:fill="FFEBC3" w:themeFill="accent2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09005E"/>
    <w:pPr>
      <w:spacing w:after="0" w:line="240" w:lineRule="auto"/>
    </w:pPr>
    <w:tblPr>
      <w:tblStyleRowBandSize w:val="1"/>
      <w:tblStyleColBandSize w:val="1"/>
      <w:tblBorders>
        <w:top w:val="single" w:sz="4" w:space="0" w:color="9FA0A3" w:themeColor="accent6" w:themeTint="99"/>
        <w:left w:val="single" w:sz="4" w:space="0" w:color="9FA0A3" w:themeColor="accent6" w:themeTint="99"/>
        <w:bottom w:val="single" w:sz="4" w:space="0" w:color="9FA0A3" w:themeColor="accent6" w:themeTint="99"/>
        <w:right w:val="single" w:sz="4" w:space="0" w:color="9FA0A3" w:themeColor="accent6" w:themeTint="99"/>
        <w:insideH w:val="single" w:sz="4" w:space="0" w:color="9FA0A3" w:themeColor="accent6" w:themeTint="99"/>
        <w:insideV w:val="single" w:sz="4" w:space="0" w:color="9FA0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6" w:themeFillTint="33"/>
      </w:tcPr>
    </w:tblStylePr>
    <w:tblStylePr w:type="band1Horz">
      <w:tblPr/>
      <w:tcPr>
        <w:shd w:val="clear" w:color="auto" w:fill="DFDFE0" w:themeFill="accent6" w:themeFillTint="33"/>
      </w:tcPr>
    </w:tblStylePr>
    <w:tblStylePr w:type="neCell">
      <w:tblPr/>
      <w:tcPr>
        <w:tcBorders>
          <w:bottom w:val="single" w:sz="4" w:space="0" w:color="9FA0A3" w:themeColor="accent6" w:themeTint="99"/>
        </w:tcBorders>
      </w:tcPr>
    </w:tblStylePr>
    <w:tblStylePr w:type="nwCell">
      <w:tblPr/>
      <w:tcPr>
        <w:tcBorders>
          <w:bottom w:val="single" w:sz="4" w:space="0" w:color="9FA0A3" w:themeColor="accent6" w:themeTint="99"/>
        </w:tcBorders>
      </w:tcPr>
    </w:tblStylePr>
    <w:tblStylePr w:type="seCell">
      <w:tblPr/>
      <w:tcPr>
        <w:tcBorders>
          <w:top w:val="single" w:sz="4" w:space="0" w:color="9FA0A3" w:themeColor="accent6" w:themeTint="99"/>
        </w:tcBorders>
      </w:tcPr>
    </w:tblStylePr>
    <w:tblStylePr w:type="swCell">
      <w:tblPr/>
      <w:tcPr>
        <w:tcBorders>
          <w:top w:val="single" w:sz="4" w:space="0" w:color="9FA0A3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900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9005E"/>
    <w:pPr>
      <w:spacing w:after="0" w:line="240" w:lineRule="auto"/>
    </w:pPr>
    <w:tblPr>
      <w:tblStyleRowBandSize w:val="1"/>
      <w:tblStyleColBandSize w:val="1"/>
      <w:tblBorders>
        <w:top w:val="single" w:sz="4" w:space="0" w:color="9FA0A3" w:themeColor="accent6" w:themeTint="99"/>
        <w:left w:val="single" w:sz="4" w:space="0" w:color="9FA0A3" w:themeColor="accent6" w:themeTint="99"/>
        <w:bottom w:val="single" w:sz="4" w:space="0" w:color="9FA0A3" w:themeColor="accent6" w:themeTint="99"/>
        <w:right w:val="single" w:sz="4" w:space="0" w:color="9FA0A3" w:themeColor="accent6" w:themeTint="99"/>
        <w:insideH w:val="single" w:sz="4" w:space="0" w:color="9FA0A3" w:themeColor="accent6" w:themeTint="99"/>
        <w:insideV w:val="single" w:sz="4" w:space="0" w:color="9FA0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6265" w:themeColor="accent6"/>
          <w:left w:val="single" w:sz="4" w:space="0" w:color="616265" w:themeColor="accent6"/>
          <w:bottom w:val="single" w:sz="4" w:space="0" w:color="616265" w:themeColor="accent6"/>
          <w:right w:val="single" w:sz="4" w:space="0" w:color="616265" w:themeColor="accent6"/>
          <w:insideH w:val="nil"/>
          <w:insideV w:val="nil"/>
        </w:tcBorders>
        <w:shd w:val="clear" w:color="auto" w:fill="616265" w:themeFill="accent6"/>
      </w:tcPr>
    </w:tblStylePr>
    <w:tblStylePr w:type="lastRow">
      <w:rPr>
        <w:b/>
        <w:bCs/>
      </w:rPr>
      <w:tblPr/>
      <w:tcPr>
        <w:tcBorders>
          <w:top w:val="double" w:sz="4" w:space="0" w:color="6162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6" w:themeFillTint="33"/>
      </w:tcPr>
    </w:tblStylePr>
    <w:tblStylePr w:type="band1Horz">
      <w:tblPr/>
      <w:tcPr>
        <w:shd w:val="clear" w:color="auto" w:fill="DFDFE0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5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C2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25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6A7F1F8-9DFA-4170-B306-FF3E9AB9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Zidar</dc:creator>
  <cp:lastModifiedBy>Josefina Zidar</cp:lastModifiedBy>
  <cp:revision>18</cp:revision>
  <cp:lastPrinted>2019-10-15T12:39:00Z</cp:lastPrinted>
  <dcterms:created xsi:type="dcterms:W3CDTF">2019-10-11T11:20:00Z</dcterms:created>
  <dcterms:modified xsi:type="dcterms:W3CDTF">2019-10-16T13:55:00Z</dcterms:modified>
</cp:coreProperties>
</file>