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9FE7" w14:textId="77777777" w:rsidR="007B4E40" w:rsidRPr="007B4E40" w:rsidRDefault="007B4E40" w:rsidP="007B4E40">
      <w:pPr>
        <w:pStyle w:val="2-title"/>
        <w:spacing w:after="240"/>
      </w:pPr>
      <w:r w:rsidRPr="007B4E40">
        <w:t>METAL OXIDE SOL-GEL MATERIALS AS DRUG DELIVERY VEHICLES AND COMPONENTS OF TISSUE SCAFFOLDS: FROM (OXO)ALKOXIDE PAPERBAG MODELS TO APPLICATIONS</w:t>
      </w:r>
    </w:p>
    <w:p w14:paraId="2A3E1B24" w14:textId="77777777" w:rsidR="007B4E40" w:rsidRPr="007B4E40" w:rsidRDefault="007B4E40" w:rsidP="007B4E40">
      <w:pPr>
        <w:pStyle w:val="3-author"/>
        <w:spacing w:after="480"/>
        <w:rPr>
          <w:sz w:val="22"/>
          <w:szCs w:val="22"/>
        </w:rPr>
      </w:pPr>
      <w:r w:rsidRPr="007B4E40">
        <w:rPr>
          <w:sz w:val="22"/>
          <w:szCs w:val="22"/>
          <w:u w:val="single"/>
        </w:rPr>
        <w:t>Vadim Kessler</w:t>
      </w:r>
      <w:r w:rsidRPr="007B4E40">
        <w:rPr>
          <w:sz w:val="22"/>
          <w:szCs w:val="22"/>
          <w:vertAlign w:val="superscript"/>
        </w:rPr>
        <w:t>1</w:t>
      </w:r>
      <w:r w:rsidRPr="007B4E40">
        <w:rPr>
          <w:sz w:val="22"/>
          <w:szCs w:val="22"/>
        </w:rPr>
        <w:t>, Gulaim Seisenbaeva</w:t>
      </w:r>
      <w:r w:rsidRPr="007B4E40">
        <w:rPr>
          <w:sz w:val="22"/>
          <w:szCs w:val="22"/>
          <w:vertAlign w:val="superscript"/>
        </w:rPr>
        <w:t xml:space="preserve"> 1</w:t>
      </w:r>
    </w:p>
    <w:p w14:paraId="2BA3ECBA" w14:textId="77777777" w:rsidR="007B4E40" w:rsidRPr="007B4E40" w:rsidRDefault="007B4E40" w:rsidP="007B4E40">
      <w:pPr>
        <w:pStyle w:val="4-dept"/>
        <w:spacing w:after="240"/>
        <w:rPr>
          <w:sz w:val="22"/>
          <w:szCs w:val="22"/>
        </w:rPr>
      </w:pPr>
      <w:r w:rsidRPr="007B4E40">
        <w:rPr>
          <w:rStyle w:val="FootnoteReference"/>
          <w:sz w:val="22"/>
          <w:szCs w:val="22"/>
        </w:rPr>
        <w:t>1</w:t>
      </w:r>
      <w:r w:rsidRPr="007B4E40">
        <w:rPr>
          <w:sz w:val="22"/>
          <w:szCs w:val="22"/>
        </w:rPr>
        <w:t xml:space="preserve"> Swedish University of Agricultural Sciences, Department of Molecular Sciences, Box 7015, Uppsala SE-75007, Sweden</w:t>
      </w:r>
    </w:p>
    <w:p w14:paraId="4ABD5B55" w14:textId="77777777" w:rsidR="007B4E40" w:rsidRPr="007B4E40" w:rsidRDefault="007B4E40" w:rsidP="007B4E40">
      <w:pPr>
        <w:rPr>
          <w:b/>
          <w:sz w:val="22"/>
          <w:szCs w:val="22"/>
          <w:lang w:val="en-US"/>
        </w:rPr>
      </w:pPr>
    </w:p>
    <w:p w14:paraId="5D65BBD2" w14:textId="77777777" w:rsidR="007B4E40" w:rsidRPr="007B4E40" w:rsidRDefault="007B4E40" w:rsidP="007B4E40">
      <w:pPr>
        <w:spacing w:after="240"/>
        <w:rPr>
          <w:rFonts w:ascii="Arial" w:hAnsi="Arial" w:cs="Arial"/>
          <w:b/>
          <w:sz w:val="22"/>
          <w:szCs w:val="22"/>
          <w:lang w:val="en-US"/>
        </w:rPr>
      </w:pPr>
      <w:r w:rsidRPr="007B4E40">
        <w:rPr>
          <w:rFonts w:ascii="Arial" w:hAnsi="Arial" w:cs="Arial"/>
          <w:b/>
          <w:sz w:val="22"/>
          <w:szCs w:val="22"/>
          <w:lang w:val="en-US"/>
        </w:rPr>
        <w:t>ABSTRACT:</w:t>
      </w:r>
    </w:p>
    <w:p w14:paraId="22E34F5E" w14:textId="77777777" w:rsidR="007B4E40" w:rsidRPr="007B4E40" w:rsidRDefault="007B4E40" w:rsidP="007B4E40">
      <w:pPr>
        <w:rPr>
          <w:rFonts w:ascii="Arial" w:hAnsi="Arial" w:cs="Arial"/>
          <w:sz w:val="22"/>
          <w:szCs w:val="22"/>
        </w:rPr>
      </w:pPr>
      <w:r w:rsidRPr="007B4E40">
        <w:rPr>
          <w:rFonts w:ascii="Arial" w:hAnsi="Arial" w:cs="Arial"/>
          <w:sz w:val="22"/>
          <w:szCs w:val="22"/>
        </w:rPr>
        <w:t xml:space="preserve">Metal oxide sol-gel process is based on massive nucleation, resulting in primary particles 2-5 nm in size, featuring well-ordered and often crystalline cores and amorphous shells, terminated by organic </w:t>
      </w:r>
      <w:proofErr w:type="gramStart"/>
      <w:r w:rsidRPr="007B4E40">
        <w:rPr>
          <w:rFonts w:ascii="Arial" w:hAnsi="Arial" w:cs="Arial"/>
          <w:sz w:val="22"/>
          <w:szCs w:val="22"/>
        </w:rPr>
        <w:t>ligands</w:t>
      </w:r>
      <w:proofErr w:type="gramEnd"/>
      <w:r w:rsidRPr="007B4E40">
        <w:rPr>
          <w:rFonts w:ascii="Arial" w:hAnsi="Arial" w:cs="Arial"/>
          <w:sz w:val="22"/>
          <w:szCs w:val="22"/>
        </w:rPr>
        <w:t xml:space="preserve"> or electrically charged species.</w:t>
      </w:r>
      <w:r w:rsidRPr="007B4E40">
        <w:rPr>
          <w:rFonts w:ascii="Arial" w:hAnsi="Arial" w:cs="Arial"/>
          <w:sz w:val="22"/>
          <w:szCs w:val="22"/>
          <w:vertAlign w:val="superscript"/>
        </w:rPr>
        <w:t>1</w:t>
      </w:r>
      <w:r w:rsidRPr="007B4E40">
        <w:rPr>
          <w:rFonts w:ascii="Arial" w:hAnsi="Arial" w:cs="Arial"/>
          <w:sz w:val="22"/>
          <w:szCs w:val="22"/>
        </w:rPr>
        <w:t xml:space="preserve"> Gelation is associated with aggregation of the primary particles with formation of closed mesoporous structures. Tailoring of the surface layer in primary particles via careful choice of ligands opens for both keeping large surface area and controlling their reactivity. The ability to bind and retain ligands can be understood through studies of intermediate products of hydrolysis, bearing the target ligands. These species resemble polyoxometallate compounds and are paperbags in their nature, i.e. oligonuclear complexes without metal-metal bonding. This contribution will present results of studies of a large number of </w:t>
      </w:r>
      <w:proofErr w:type="gramStart"/>
      <w:r w:rsidRPr="007B4E40">
        <w:rPr>
          <w:rFonts w:ascii="Arial" w:hAnsi="Arial" w:cs="Arial"/>
          <w:sz w:val="22"/>
          <w:szCs w:val="22"/>
        </w:rPr>
        <w:t>metal</w:t>
      </w:r>
      <w:proofErr w:type="gramEnd"/>
      <w:r w:rsidRPr="007B4E40">
        <w:rPr>
          <w:rFonts w:ascii="Arial" w:hAnsi="Arial" w:cs="Arial"/>
          <w:sz w:val="22"/>
          <w:szCs w:val="22"/>
        </w:rPr>
        <w:t xml:space="preserve"> oxo-alkoxide paperbag complexes with model phenoxide</w:t>
      </w:r>
      <w:r w:rsidRPr="007B4E40">
        <w:rPr>
          <w:rFonts w:ascii="Arial" w:hAnsi="Arial" w:cs="Arial"/>
          <w:sz w:val="22"/>
          <w:szCs w:val="22"/>
          <w:vertAlign w:val="superscript"/>
        </w:rPr>
        <w:t>2</w:t>
      </w:r>
      <w:r w:rsidRPr="007B4E40">
        <w:rPr>
          <w:rFonts w:ascii="Arial" w:hAnsi="Arial" w:cs="Arial"/>
          <w:sz w:val="22"/>
          <w:szCs w:val="22"/>
        </w:rPr>
        <w:t xml:space="preserve"> and alkyl phosphonate ligands,</w:t>
      </w:r>
      <w:r w:rsidRPr="007B4E40">
        <w:rPr>
          <w:rFonts w:ascii="Arial" w:hAnsi="Arial" w:cs="Arial"/>
          <w:sz w:val="22"/>
          <w:szCs w:val="22"/>
          <w:vertAlign w:val="superscript"/>
        </w:rPr>
        <w:t>3</w:t>
      </w:r>
      <w:r w:rsidRPr="007B4E40">
        <w:rPr>
          <w:rFonts w:ascii="Arial" w:hAnsi="Arial" w:cs="Arial"/>
          <w:sz w:val="22"/>
          <w:szCs w:val="22"/>
        </w:rPr>
        <w:t xml:space="preserve"> shedding light on possibility of controlled release of, in particular, antibiotic medicines for improved wound healing.</w:t>
      </w:r>
      <w:r w:rsidRPr="007B4E40">
        <w:rPr>
          <w:rFonts w:ascii="Arial" w:hAnsi="Arial" w:cs="Arial"/>
          <w:sz w:val="22"/>
          <w:szCs w:val="22"/>
          <w:vertAlign w:val="superscript"/>
        </w:rPr>
        <w:t>4</w:t>
      </w:r>
      <w:r w:rsidRPr="007B4E40">
        <w:rPr>
          <w:rFonts w:ascii="Arial" w:hAnsi="Arial" w:cs="Arial"/>
          <w:sz w:val="22"/>
          <w:szCs w:val="22"/>
        </w:rPr>
        <w:t xml:space="preserve"> </w:t>
      </w:r>
    </w:p>
    <w:p w14:paraId="05688818" w14:textId="77777777" w:rsidR="007B4E40" w:rsidRPr="007B4E40" w:rsidRDefault="007B4E40" w:rsidP="007B4E40">
      <w:pPr>
        <w:rPr>
          <w:rFonts w:ascii="Arial" w:hAnsi="Arial" w:cs="Arial"/>
          <w:sz w:val="22"/>
          <w:szCs w:val="22"/>
        </w:rPr>
      </w:pPr>
      <w:r w:rsidRPr="007B4E40">
        <w:rPr>
          <w:rFonts w:ascii="Arial" w:hAnsi="Arial" w:cs="Arial"/>
          <w:sz w:val="22"/>
          <w:szCs w:val="22"/>
        </w:rPr>
        <w:t>A special focus will be made on metal oxide nanoparticle interaction with peptide and protein molecules,</w:t>
      </w:r>
      <w:r w:rsidRPr="007B4E40">
        <w:rPr>
          <w:rFonts w:ascii="Arial" w:hAnsi="Arial" w:cs="Arial"/>
          <w:sz w:val="22"/>
          <w:szCs w:val="22"/>
          <w:vertAlign w:val="superscript"/>
        </w:rPr>
        <w:t>5-6</w:t>
      </w:r>
      <w:r w:rsidRPr="007B4E40">
        <w:rPr>
          <w:rFonts w:ascii="Arial" w:hAnsi="Arial" w:cs="Arial"/>
          <w:sz w:val="22"/>
          <w:szCs w:val="22"/>
        </w:rPr>
        <w:t xml:space="preserve"> demonstrating their ability of specific binding, permitting to apply tailored nanomaterials as potential components of tissue scaffolds improving the healing process,</w:t>
      </w:r>
      <w:proofErr w:type="gramStart"/>
      <w:r w:rsidRPr="007B4E40">
        <w:rPr>
          <w:rFonts w:ascii="Arial" w:hAnsi="Arial" w:cs="Arial"/>
          <w:sz w:val="22"/>
          <w:szCs w:val="22"/>
          <w:vertAlign w:val="superscript"/>
        </w:rPr>
        <w:t>7</w:t>
      </w:r>
      <w:proofErr w:type="gramEnd"/>
      <w:r w:rsidRPr="007B4E40">
        <w:rPr>
          <w:rFonts w:ascii="Arial" w:hAnsi="Arial" w:cs="Arial"/>
          <w:sz w:val="22"/>
          <w:szCs w:val="22"/>
        </w:rPr>
        <w:t xml:space="preserve"> and as anti-viral nanomedicines.</w:t>
      </w:r>
      <w:r w:rsidRPr="007B4E40">
        <w:rPr>
          <w:rFonts w:ascii="Arial" w:hAnsi="Arial" w:cs="Arial"/>
          <w:sz w:val="22"/>
          <w:szCs w:val="22"/>
          <w:vertAlign w:val="superscript"/>
        </w:rPr>
        <w:t>8</w:t>
      </w:r>
      <w:r w:rsidRPr="007B4E40">
        <w:rPr>
          <w:rFonts w:ascii="Arial" w:hAnsi="Arial" w:cs="Arial"/>
          <w:sz w:val="22"/>
          <w:szCs w:val="22"/>
        </w:rPr>
        <w:t xml:space="preserve"> </w:t>
      </w:r>
    </w:p>
    <w:p w14:paraId="1639A403" w14:textId="77777777" w:rsidR="007B4E40" w:rsidRDefault="007B4E40" w:rsidP="007B4E40">
      <w:pPr>
        <w:rPr>
          <w:sz w:val="20"/>
        </w:rPr>
      </w:pPr>
    </w:p>
    <w:p w14:paraId="3C55CFC5" w14:textId="77777777" w:rsidR="007B4E40" w:rsidRDefault="007B4E40" w:rsidP="007B4E40">
      <w:pPr>
        <w:jc w:val="left"/>
        <w:rPr>
          <w:rFonts w:ascii="Arial" w:hAnsi="Arial" w:cs="Arial"/>
          <w:b/>
          <w:sz w:val="20"/>
          <w:lang w:val="en-US"/>
        </w:rPr>
      </w:pPr>
      <w:r>
        <w:rPr>
          <w:rFonts w:ascii="Arial" w:hAnsi="Arial" w:cs="Arial"/>
          <w:b/>
          <w:sz w:val="20"/>
          <w:lang w:val="en-US"/>
        </w:rPr>
        <w:t>References</w:t>
      </w:r>
    </w:p>
    <w:p w14:paraId="431099C0" w14:textId="77777777" w:rsidR="007B4E40" w:rsidRPr="007B4E40" w:rsidRDefault="007B4E40" w:rsidP="007B4E40">
      <w:pPr>
        <w:jc w:val="left"/>
        <w:rPr>
          <w:rFonts w:ascii="Arial" w:hAnsi="Arial" w:cs="Arial"/>
          <w:sz w:val="20"/>
          <w:lang w:val="en-US" w:eastAsia="fr-FR"/>
        </w:rPr>
      </w:pPr>
      <w:r w:rsidRPr="007B4E40">
        <w:rPr>
          <w:rFonts w:ascii="Arial" w:hAnsi="Arial" w:cs="Arial"/>
          <w:color w:val="333333"/>
          <w:sz w:val="20"/>
          <w:shd w:val="clear" w:color="auto" w:fill="FCFCFC"/>
          <w:lang w:val="en-US" w:eastAsia="fr-FR"/>
        </w:rPr>
        <w:t>1</w:t>
      </w:r>
      <w:r>
        <w:rPr>
          <w:rFonts w:ascii="Arial" w:hAnsi="Arial" w:cs="Arial"/>
          <w:color w:val="333333"/>
          <w:sz w:val="20"/>
          <w:shd w:val="clear" w:color="auto" w:fill="FCFCFC"/>
          <w:lang w:val="en-US" w:eastAsia="fr-FR"/>
        </w:rPr>
        <w:t>.</w:t>
      </w:r>
      <w:r w:rsidRPr="007B4E40">
        <w:rPr>
          <w:rFonts w:ascii="Arial" w:hAnsi="Arial" w:cs="Arial"/>
          <w:color w:val="333333"/>
          <w:sz w:val="20"/>
          <w:shd w:val="clear" w:color="auto" w:fill="FCFCFC"/>
          <w:lang w:val="en-US" w:eastAsia="fr-FR"/>
        </w:rPr>
        <w:t xml:space="preserve"> Seisenbaeva GA, Kessler VG (2014) Nanoscale 6: 6229-6244.</w:t>
      </w:r>
    </w:p>
    <w:p w14:paraId="6EE724C7" w14:textId="77777777" w:rsidR="007B4E40" w:rsidRPr="007B4E40" w:rsidRDefault="007B4E40" w:rsidP="007B4E40">
      <w:pPr>
        <w:jc w:val="left"/>
        <w:rPr>
          <w:rFonts w:ascii="Arial" w:hAnsi="Arial" w:cs="Arial"/>
          <w:sz w:val="20"/>
          <w:lang w:val="en-US"/>
        </w:rPr>
      </w:pPr>
      <w:r w:rsidRPr="007B4E40">
        <w:rPr>
          <w:rFonts w:ascii="Arial" w:hAnsi="Arial" w:cs="Arial"/>
          <w:sz w:val="20"/>
          <w:lang w:val="en-US"/>
        </w:rPr>
        <w:t>2</w:t>
      </w:r>
      <w:r>
        <w:rPr>
          <w:rFonts w:ascii="Arial" w:hAnsi="Arial" w:cs="Arial"/>
          <w:sz w:val="20"/>
          <w:lang w:val="en-US"/>
        </w:rPr>
        <w:t>.</w:t>
      </w:r>
      <w:r w:rsidRPr="007B4E40">
        <w:rPr>
          <w:rFonts w:ascii="Arial" w:hAnsi="Arial" w:cs="Arial"/>
          <w:sz w:val="20"/>
          <w:lang w:val="en-US"/>
        </w:rPr>
        <w:t xml:space="preserve"> Svensson FG, Seisenbaeva GA, Kessler VG (2017) Eur. J. Inorg. Chem. 2017: 4117–4122.</w:t>
      </w:r>
    </w:p>
    <w:p w14:paraId="347AD1D1" w14:textId="77777777" w:rsidR="007B4E40" w:rsidRPr="007B4E40" w:rsidRDefault="007B4E40" w:rsidP="007B4E40">
      <w:pPr>
        <w:jc w:val="left"/>
        <w:rPr>
          <w:rFonts w:ascii="Arial" w:hAnsi="Arial" w:cs="Arial"/>
          <w:sz w:val="20"/>
          <w:lang w:val="en-US"/>
        </w:rPr>
      </w:pPr>
      <w:r w:rsidRPr="007B4E40">
        <w:rPr>
          <w:rFonts w:ascii="Arial" w:hAnsi="Arial" w:cs="Arial"/>
          <w:sz w:val="20"/>
          <w:lang w:val="en-US"/>
        </w:rPr>
        <w:t>3</w:t>
      </w:r>
      <w:r>
        <w:rPr>
          <w:rFonts w:ascii="Arial" w:hAnsi="Arial" w:cs="Arial"/>
          <w:sz w:val="20"/>
          <w:lang w:val="en-US"/>
        </w:rPr>
        <w:t>.</w:t>
      </w:r>
      <w:r w:rsidRPr="007B4E40">
        <w:rPr>
          <w:rFonts w:ascii="Arial" w:hAnsi="Arial" w:cs="Arial"/>
          <w:sz w:val="20"/>
          <w:lang w:val="en-US"/>
        </w:rPr>
        <w:t xml:space="preserve"> Svensson FG, Daniel G, Tai CW, Seisenbaeva GA, Kessler VG (2020) RSC Adv. 10: 6873-6883.</w:t>
      </w:r>
    </w:p>
    <w:p w14:paraId="66D00B93" w14:textId="77777777" w:rsidR="007B4E40" w:rsidRPr="007B4E40" w:rsidRDefault="007B4E40" w:rsidP="007B4E40">
      <w:pPr>
        <w:jc w:val="left"/>
        <w:rPr>
          <w:rFonts w:ascii="Arial" w:hAnsi="Arial" w:cs="Arial"/>
          <w:sz w:val="20"/>
          <w:lang w:val="sv-SE"/>
        </w:rPr>
      </w:pPr>
      <w:r w:rsidRPr="007B4E40">
        <w:rPr>
          <w:rFonts w:ascii="Arial" w:hAnsi="Arial" w:cs="Arial"/>
          <w:sz w:val="20"/>
          <w:lang w:val="sv-SE"/>
        </w:rPr>
        <w:t>4. Seisenbaeva GA, Fromell K, Vinogradov VV, Terekhov AN, Pakhomov AV, Nilsson B, Ekdahl KN, Vinogradov VV, Kessler VG (2017) Sci. Rep. 7: 15448.</w:t>
      </w:r>
    </w:p>
    <w:p w14:paraId="5658FFA3" w14:textId="77777777" w:rsidR="009E2006" w:rsidRDefault="007B4E40" w:rsidP="007B4E40">
      <w:pPr>
        <w:rPr>
          <w:rFonts w:ascii="Arial" w:hAnsi="Arial" w:cs="Arial"/>
          <w:sz w:val="20"/>
          <w:lang w:val="sv-SE"/>
        </w:rPr>
      </w:pPr>
      <w:r w:rsidRPr="007B4E40">
        <w:rPr>
          <w:rFonts w:ascii="Arial" w:hAnsi="Arial" w:cs="Arial"/>
          <w:sz w:val="20"/>
          <w:lang w:val="sv-SE"/>
        </w:rPr>
        <w:t>5</w:t>
      </w:r>
      <w:r>
        <w:rPr>
          <w:rFonts w:ascii="Arial" w:hAnsi="Arial" w:cs="Arial"/>
          <w:sz w:val="20"/>
          <w:lang w:val="sv-SE"/>
        </w:rPr>
        <w:t>.</w:t>
      </w:r>
      <w:r w:rsidRPr="007B4E40">
        <w:rPr>
          <w:rFonts w:ascii="Arial" w:hAnsi="Arial" w:cs="Arial"/>
          <w:sz w:val="20"/>
          <w:lang w:val="sv-SE"/>
        </w:rPr>
        <w:t xml:space="preserve"> Greijer B, De Donder T, Nestor G, Eriksson JE, Seisenbaeva GA, Kessler VG (2021) Eur. J. Inorg. Chem. 2021: 54-61.</w:t>
      </w:r>
    </w:p>
    <w:p w14:paraId="2F53E602" w14:textId="77777777" w:rsidR="007B4E40" w:rsidRDefault="007B4E40" w:rsidP="007B4E40">
      <w:pPr>
        <w:rPr>
          <w:rFonts w:ascii="Arial" w:hAnsi="Arial" w:cs="Arial"/>
          <w:sz w:val="20"/>
          <w:lang w:val="sv-SE"/>
        </w:rPr>
      </w:pPr>
      <w:r>
        <w:rPr>
          <w:rFonts w:ascii="Arial" w:hAnsi="Arial" w:cs="Arial"/>
          <w:sz w:val="20"/>
          <w:lang w:val="sv-SE"/>
        </w:rPr>
        <w:t xml:space="preserve">6. </w:t>
      </w:r>
      <w:r w:rsidRPr="007B4E40">
        <w:rPr>
          <w:rFonts w:ascii="Arial" w:hAnsi="Arial" w:cs="Arial"/>
          <w:sz w:val="20"/>
          <w:lang w:val="sv-SE"/>
        </w:rPr>
        <w:t xml:space="preserve">Greijer </w:t>
      </w:r>
      <w:r>
        <w:rPr>
          <w:rFonts w:ascii="Arial" w:hAnsi="Arial" w:cs="Arial"/>
          <w:sz w:val="20"/>
          <w:lang w:val="sv-SE"/>
        </w:rPr>
        <w:t>BH</w:t>
      </w:r>
      <w:r w:rsidRPr="007B4E40">
        <w:rPr>
          <w:rFonts w:ascii="Arial" w:hAnsi="Arial" w:cs="Arial"/>
          <w:sz w:val="20"/>
          <w:lang w:val="sv-SE"/>
        </w:rPr>
        <w:t>, Nestor</w:t>
      </w:r>
      <w:r>
        <w:rPr>
          <w:rFonts w:ascii="Arial" w:hAnsi="Arial" w:cs="Arial"/>
          <w:sz w:val="20"/>
          <w:lang w:val="sv-SE"/>
        </w:rPr>
        <w:t xml:space="preserve"> G</w:t>
      </w:r>
      <w:r w:rsidRPr="007B4E40">
        <w:rPr>
          <w:rFonts w:ascii="Arial" w:hAnsi="Arial" w:cs="Arial"/>
          <w:sz w:val="20"/>
          <w:lang w:val="sv-SE"/>
        </w:rPr>
        <w:t>, Eriksson</w:t>
      </w:r>
      <w:r>
        <w:rPr>
          <w:rFonts w:ascii="Arial" w:hAnsi="Arial" w:cs="Arial"/>
          <w:sz w:val="20"/>
          <w:lang w:val="sv-SE"/>
        </w:rPr>
        <w:t xml:space="preserve"> JE</w:t>
      </w:r>
      <w:r w:rsidRPr="007B4E40">
        <w:rPr>
          <w:rFonts w:ascii="Arial" w:hAnsi="Arial" w:cs="Arial"/>
          <w:sz w:val="20"/>
          <w:lang w:val="sv-SE"/>
        </w:rPr>
        <w:t xml:space="preserve">, Seisenbaeva </w:t>
      </w:r>
      <w:r>
        <w:rPr>
          <w:rFonts w:ascii="Arial" w:hAnsi="Arial" w:cs="Arial"/>
          <w:sz w:val="20"/>
          <w:lang w:val="sv-SE"/>
        </w:rPr>
        <w:t xml:space="preserve">GA, </w:t>
      </w:r>
      <w:r w:rsidRPr="007B4E40">
        <w:rPr>
          <w:rFonts w:ascii="Arial" w:hAnsi="Arial" w:cs="Arial"/>
          <w:sz w:val="20"/>
          <w:lang w:val="sv-SE"/>
        </w:rPr>
        <w:t>Kessler</w:t>
      </w:r>
      <w:r>
        <w:rPr>
          <w:rFonts w:ascii="Arial" w:hAnsi="Arial" w:cs="Arial"/>
          <w:sz w:val="20"/>
          <w:lang w:val="sv-SE"/>
        </w:rPr>
        <w:t xml:space="preserve"> VG (2022) Dalton Trans. 51:9511-9521.</w:t>
      </w:r>
    </w:p>
    <w:p w14:paraId="40ABB3BE" w14:textId="77777777" w:rsidR="007B4E40" w:rsidRDefault="007B4E40" w:rsidP="007B4E40">
      <w:pPr>
        <w:rPr>
          <w:rFonts w:ascii="Arial" w:hAnsi="Arial" w:cs="Arial"/>
          <w:sz w:val="20"/>
          <w:lang w:val="sv-SE"/>
        </w:rPr>
      </w:pPr>
      <w:r>
        <w:rPr>
          <w:rFonts w:ascii="Arial" w:hAnsi="Arial" w:cs="Arial"/>
          <w:sz w:val="20"/>
          <w:lang w:val="sv-SE"/>
        </w:rPr>
        <w:t xml:space="preserve">7. </w:t>
      </w:r>
      <w:r w:rsidRPr="007B4E40">
        <w:rPr>
          <w:rFonts w:ascii="Arial" w:hAnsi="Arial" w:cs="Arial"/>
          <w:sz w:val="20"/>
          <w:lang w:val="sv-SE"/>
        </w:rPr>
        <w:t xml:space="preserve">Svensson </w:t>
      </w:r>
      <w:r>
        <w:rPr>
          <w:rFonts w:ascii="Arial" w:hAnsi="Arial" w:cs="Arial"/>
          <w:sz w:val="20"/>
          <w:lang w:val="sv-SE"/>
        </w:rPr>
        <w:t>FG</w:t>
      </w:r>
      <w:r w:rsidRPr="007B4E40">
        <w:rPr>
          <w:rFonts w:ascii="Arial" w:hAnsi="Arial" w:cs="Arial"/>
          <w:sz w:val="20"/>
          <w:lang w:val="sv-SE"/>
        </w:rPr>
        <w:t xml:space="preserve">, Manivel </w:t>
      </w:r>
      <w:r w:rsidR="00BE11CE">
        <w:rPr>
          <w:rFonts w:ascii="Arial" w:hAnsi="Arial" w:cs="Arial"/>
          <w:sz w:val="20"/>
          <w:lang w:val="sv-SE"/>
        </w:rPr>
        <w:t>VA</w:t>
      </w:r>
      <w:r w:rsidRPr="007B4E40">
        <w:rPr>
          <w:rFonts w:ascii="Arial" w:hAnsi="Arial" w:cs="Arial"/>
          <w:sz w:val="20"/>
          <w:lang w:val="sv-SE"/>
        </w:rPr>
        <w:t xml:space="preserve">, Seisenbaeva </w:t>
      </w:r>
      <w:r w:rsidR="00BE11CE">
        <w:rPr>
          <w:rFonts w:ascii="Arial" w:hAnsi="Arial" w:cs="Arial"/>
          <w:sz w:val="20"/>
          <w:lang w:val="sv-SE"/>
        </w:rPr>
        <w:t>GA</w:t>
      </w:r>
      <w:r w:rsidRPr="007B4E40">
        <w:rPr>
          <w:rFonts w:ascii="Arial" w:hAnsi="Arial" w:cs="Arial"/>
          <w:sz w:val="20"/>
          <w:lang w:val="sv-SE"/>
        </w:rPr>
        <w:t xml:space="preserve">, Kessler </w:t>
      </w:r>
      <w:r w:rsidR="00BE11CE">
        <w:rPr>
          <w:rFonts w:ascii="Arial" w:hAnsi="Arial" w:cs="Arial"/>
          <w:sz w:val="20"/>
          <w:lang w:val="sv-SE"/>
        </w:rPr>
        <w:t>VG</w:t>
      </w:r>
      <w:r w:rsidRPr="007B4E40">
        <w:rPr>
          <w:rFonts w:ascii="Arial" w:hAnsi="Arial" w:cs="Arial"/>
          <w:sz w:val="20"/>
          <w:lang w:val="sv-SE"/>
        </w:rPr>
        <w:t xml:space="preserve">, Nilsson </w:t>
      </w:r>
      <w:r w:rsidR="00BE11CE">
        <w:rPr>
          <w:rFonts w:ascii="Arial" w:hAnsi="Arial" w:cs="Arial"/>
          <w:sz w:val="20"/>
          <w:lang w:val="sv-SE"/>
        </w:rPr>
        <w:t>B</w:t>
      </w:r>
      <w:r w:rsidRPr="007B4E40">
        <w:rPr>
          <w:rFonts w:ascii="Arial" w:hAnsi="Arial" w:cs="Arial"/>
          <w:sz w:val="20"/>
          <w:lang w:val="sv-SE"/>
        </w:rPr>
        <w:t>,</w:t>
      </w:r>
      <w:r w:rsidR="00BE11CE">
        <w:rPr>
          <w:rFonts w:ascii="Arial" w:hAnsi="Arial" w:cs="Arial"/>
          <w:sz w:val="20"/>
          <w:lang w:val="sv-SE"/>
        </w:rPr>
        <w:t xml:space="preserve"> </w:t>
      </w:r>
      <w:r w:rsidRPr="007B4E40">
        <w:rPr>
          <w:rFonts w:ascii="Arial" w:hAnsi="Arial" w:cs="Arial"/>
          <w:sz w:val="20"/>
          <w:lang w:val="sv-SE"/>
        </w:rPr>
        <w:t xml:space="preserve">Ekdahl </w:t>
      </w:r>
      <w:r w:rsidR="00BE11CE">
        <w:rPr>
          <w:rFonts w:ascii="Arial" w:hAnsi="Arial" w:cs="Arial"/>
          <w:sz w:val="20"/>
          <w:lang w:val="sv-SE"/>
        </w:rPr>
        <w:t>KN,</w:t>
      </w:r>
      <w:r w:rsidRPr="007B4E40">
        <w:rPr>
          <w:rFonts w:ascii="Arial" w:hAnsi="Arial" w:cs="Arial"/>
          <w:sz w:val="20"/>
          <w:lang w:val="sv-SE"/>
        </w:rPr>
        <w:t xml:space="preserve"> Fromell</w:t>
      </w:r>
      <w:r w:rsidR="00BE11CE">
        <w:rPr>
          <w:rFonts w:ascii="Arial" w:hAnsi="Arial" w:cs="Arial"/>
          <w:sz w:val="20"/>
          <w:lang w:val="sv-SE"/>
        </w:rPr>
        <w:t xml:space="preserve"> K (2021) Nanomaterials 11:1100.</w:t>
      </w:r>
    </w:p>
    <w:p w14:paraId="161B51C6" w14:textId="77777777" w:rsidR="00BE11CE" w:rsidRPr="007B4E40" w:rsidRDefault="00BE11CE" w:rsidP="00BE11CE">
      <w:pPr>
        <w:rPr>
          <w:rFonts w:ascii="Arial" w:hAnsi="Arial" w:cs="Arial"/>
          <w:sz w:val="20"/>
          <w:lang w:val="sv-SE"/>
        </w:rPr>
      </w:pPr>
      <w:r w:rsidRPr="00BE11CE">
        <w:rPr>
          <w:rFonts w:ascii="Arial" w:hAnsi="Arial" w:cs="Arial"/>
          <w:sz w:val="20"/>
          <w:lang w:val="sv-SE"/>
        </w:rPr>
        <w:t>8. Agback P, Agback T, Dominguez F</w:t>
      </w:r>
      <w:r>
        <w:rPr>
          <w:rFonts w:ascii="Arial" w:hAnsi="Arial" w:cs="Arial"/>
          <w:sz w:val="20"/>
          <w:lang w:val="sv-SE"/>
        </w:rPr>
        <w:t xml:space="preserve">, </w:t>
      </w:r>
      <w:r w:rsidRPr="00BE11CE">
        <w:rPr>
          <w:rFonts w:ascii="Arial" w:hAnsi="Arial" w:cs="Arial"/>
          <w:sz w:val="20"/>
          <w:lang w:val="sv-SE"/>
        </w:rPr>
        <w:t>Frolova</w:t>
      </w:r>
      <w:r>
        <w:rPr>
          <w:rFonts w:ascii="Arial" w:hAnsi="Arial" w:cs="Arial"/>
          <w:sz w:val="20"/>
          <w:lang w:val="sv-SE"/>
        </w:rPr>
        <w:t xml:space="preserve"> EI, </w:t>
      </w:r>
      <w:r w:rsidRPr="00BE11CE">
        <w:rPr>
          <w:rFonts w:ascii="Arial" w:hAnsi="Arial" w:cs="Arial"/>
          <w:sz w:val="20"/>
          <w:lang w:val="sv-SE"/>
        </w:rPr>
        <w:t xml:space="preserve">Seisenbaeva </w:t>
      </w:r>
      <w:r>
        <w:rPr>
          <w:rFonts w:ascii="Arial" w:hAnsi="Arial" w:cs="Arial"/>
          <w:sz w:val="20"/>
          <w:lang w:val="sv-SE"/>
        </w:rPr>
        <w:t>GA,</w:t>
      </w:r>
      <w:r w:rsidRPr="00BE11CE">
        <w:rPr>
          <w:rFonts w:ascii="Arial" w:hAnsi="Arial" w:cs="Arial"/>
          <w:sz w:val="20"/>
          <w:lang w:val="sv-SE"/>
        </w:rPr>
        <w:t xml:space="preserve"> Kessler</w:t>
      </w:r>
      <w:r>
        <w:rPr>
          <w:rFonts w:ascii="Arial" w:hAnsi="Arial" w:cs="Arial"/>
          <w:sz w:val="20"/>
          <w:lang w:val="sv-SE"/>
        </w:rPr>
        <w:t xml:space="preserve"> VG (2022) Nanoscale Adv. 4:1527-1532.</w:t>
      </w:r>
    </w:p>
    <w:sectPr w:rsidR="00BE11CE" w:rsidRPr="007B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40"/>
    <w:rsid w:val="007B4E40"/>
    <w:rsid w:val="009E2006"/>
    <w:rsid w:val="00BE11CE"/>
    <w:rsid w:val="00C17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9834"/>
  <w15:chartTrackingRefBased/>
  <w15:docId w15:val="{234CEFAF-E2DC-44EE-9CF1-B3A72F70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40"/>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7B4E40"/>
    <w:rPr>
      <w:vertAlign w:val="superscript"/>
    </w:rPr>
  </w:style>
  <w:style w:type="paragraph" w:customStyle="1" w:styleId="2-title">
    <w:name w:val="2-title"/>
    <w:basedOn w:val="Normal"/>
    <w:rsid w:val="007B4E40"/>
    <w:pPr>
      <w:jc w:val="center"/>
    </w:pPr>
    <w:rPr>
      <w:rFonts w:ascii="Arial" w:eastAsia="Calibri" w:hAnsi="Arial" w:cs="Arial"/>
      <w:b/>
      <w:sz w:val="22"/>
      <w:szCs w:val="22"/>
    </w:rPr>
  </w:style>
  <w:style w:type="paragraph" w:customStyle="1" w:styleId="3-author">
    <w:name w:val="3-author"/>
    <w:basedOn w:val="Normal"/>
    <w:rsid w:val="007B4E40"/>
    <w:pPr>
      <w:jc w:val="center"/>
    </w:pPr>
    <w:rPr>
      <w:rFonts w:ascii="Arial" w:eastAsia="Calibri" w:hAnsi="Arial" w:cs="Arial"/>
      <w:b/>
      <w:sz w:val="18"/>
    </w:rPr>
  </w:style>
  <w:style w:type="paragraph" w:customStyle="1" w:styleId="4-dept">
    <w:name w:val="4-dept"/>
    <w:basedOn w:val="Normal"/>
    <w:rsid w:val="007B4E40"/>
    <w:pPr>
      <w:spacing w:before="60" w:after="60"/>
      <w:jc w:val="center"/>
    </w:pPr>
    <w:rPr>
      <w:rFonts w:ascii="Arial" w:eastAsia="Calibri" w:hAnsi="Arial" w:cs="Arial"/>
      <w:i/>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Kessler</dc:creator>
  <cp:keywords/>
  <dc:description/>
  <cp:lastModifiedBy>Henrik Hansson</cp:lastModifiedBy>
  <cp:revision>2</cp:revision>
  <dcterms:created xsi:type="dcterms:W3CDTF">2023-06-30T12:23:00Z</dcterms:created>
  <dcterms:modified xsi:type="dcterms:W3CDTF">2023-06-30T12:23:00Z</dcterms:modified>
</cp:coreProperties>
</file>