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0"/>
        </w:rPr>
      </w:pPr>
    </w:p>
    <w:p>
      <w:pPr>
        <w:pStyle w:val="BodyText"/>
        <w:spacing w:line="480" w:lineRule="auto"/>
        <w:ind w:left="6443" w:right="538"/>
      </w:pPr>
      <w:r>
        <w:rPr/>
        <w:drawing>
          <wp:anchor distT="0" distB="0" distL="0" distR="0" allowOverlap="1" layoutInCell="1" locked="0" behindDoc="0" simplePos="0" relativeHeight="1048">
            <wp:simplePos x="0" y="0"/>
            <wp:positionH relativeFrom="page">
              <wp:posOffset>206394</wp:posOffset>
            </wp:positionH>
            <wp:positionV relativeFrom="paragraph">
              <wp:posOffset>-734988</wp:posOffset>
            </wp:positionV>
            <wp:extent cx="1676619" cy="165854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76619" cy="1658544"/>
                    </a:xfrm>
                    <a:prstGeom prst="rect">
                      <a:avLst/>
                    </a:prstGeom>
                  </pic:spPr>
                </pic:pic>
              </a:graphicData>
            </a:graphic>
          </wp:anchor>
        </w:drawing>
      </w:r>
      <w:r>
        <w:rPr/>
        <w:t>Natureach – Nature Reachable for All Instruktioner för Firstbeat-enheter</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5"/>
        </w:rPr>
      </w:pPr>
    </w:p>
    <w:p>
      <w:pPr>
        <w:pStyle w:val="Heading1"/>
        <w:ind w:left="1378"/>
      </w:pPr>
      <w:r>
        <w:rPr/>
        <w:t>Firstbeat-mätare: Mätningens början och slut</w:t>
      </w:r>
    </w:p>
    <w:p>
      <w:pPr>
        <w:pStyle w:val="ListParagraph"/>
        <w:numPr>
          <w:ilvl w:val="0"/>
          <w:numId w:val="1"/>
        </w:numPr>
        <w:tabs>
          <w:tab w:pos="2031" w:val="left" w:leader="none"/>
          <w:tab w:pos="2032" w:val="left" w:leader="none"/>
        </w:tabs>
        <w:spacing w:line="276" w:lineRule="auto" w:before="256" w:after="0"/>
        <w:ind w:left="2031" w:right="625" w:hanging="360"/>
        <w:jc w:val="left"/>
        <w:rPr>
          <w:sz w:val="24"/>
        </w:rPr>
      </w:pPr>
      <w:r>
        <w:rPr>
          <w:sz w:val="24"/>
        </w:rPr>
        <w:t>Se till att använda och bära Firstbeat-enheten under kläderna (inklusive bh) så länge som forskaren/instruktören begär</w:t>
      </w:r>
      <w:r>
        <w:rPr>
          <w:spacing w:val="-4"/>
          <w:sz w:val="24"/>
        </w:rPr>
        <w:t> </w:t>
      </w:r>
      <w:r>
        <w:rPr>
          <w:sz w:val="24"/>
        </w:rPr>
        <w:t>det.</w:t>
      </w:r>
    </w:p>
    <w:p>
      <w:pPr>
        <w:pStyle w:val="ListParagraph"/>
        <w:numPr>
          <w:ilvl w:val="0"/>
          <w:numId w:val="1"/>
        </w:numPr>
        <w:tabs>
          <w:tab w:pos="2031" w:val="left" w:leader="none"/>
          <w:tab w:pos="2032" w:val="left" w:leader="none"/>
        </w:tabs>
        <w:spacing w:line="278" w:lineRule="auto" w:before="0" w:after="0"/>
        <w:ind w:left="2031" w:right="1052" w:hanging="360"/>
        <w:jc w:val="left"/>
        <w:rPr>
          <w:b/>
          <w:sz w:val="24"/>
        </w:rPr>
      </w:pPr>
      <w:r>
        <w:rPr>
          <w:sz w:val="24"/>
        </w:rPr>
        <w:t>Den enda gången du tar av enheten är för </w:t>
      </w:r>
      <w:r>
        <w:rPr>
          <w:b/>
          <w:sz w:val="24"/>
        </w:rPr>
        <w:t>att duscha, basta och simma: Använd inte enheten i</w:t>
      </w:r>
      <w:r>
        <w:rPr>
          <w:b/>
          <w:spacing w:val="-4"/>
          <w:sz w:val="24"/>
        </w:rPr>
        <w:t> </w:t>
      </w:r>
      <w:r>
        <w:rPr>
          <w:b/>
          <w:sz w:val="24"/>
        </w:rPr>
        <w:t>vatten.</w:t>
      </w:r>
    </w:p>
    <w:p>
      <w:pPr>
        <w:pStyle w:val="ListParagraph"/>
        <w:numPr>
          <w:ilvl w:val="0"/>
          <w:numId w:val="1"/>
        </w:numPr>
        <w:tabs>
          <w:tab w:pos="2031" w:val="left" w:leader="none"/>
          <w:tab w:pos="2032" w:val="left" w:leader="none"/>
        </w:tabs>
        <w:spacing w:line="276" w:lineRule="auto" w:before="0" w:after="0"/>
        <w:ind w:left="2031" w:right="525" w:hanging="360"/>
        <w:jc w:val="left"/>
        <w:rPr>
          <w:sz w:val="24"/>
        </w:rPr>
      </w:pPr>
      <w:r>
        <w:rPr>
          <w:sz w:val="24"/>
        </w:rPr>
        <w:t>Enheten börjar mäta när enheten är ansluten och fäst på huden (en grön</w:t>
      </w:r>
      <w:r>
        <w:rPr>
          <w:spacing w:val="-32"/>
          <w:sz w:val="24"/>
        </w:rPr>
        <w:t> </w:t>
      </w:r>
      <w:r>
        <w:rPr>
          <w:sz w:val="24"/>
        </w:rPr>
        <w:t>lampa ska lysa) (Tips: Se till att enheten är ansluten på rätt sätt – se elektrod och metallplatta – stängs bara helt när den är på rätt</w:t>
      </w:r>
      <w:r>
        <w:rPr>
          <w:spacing w:val="-7"/>
          <w:sz w:val="24"/>
        </w:rPr>
        <w:t> </w:t>
      </w:r>
      <w:r>
        <w:rPr>
          <w:sz w:val="24"/>
        </w:rPr>
        <w:t>sätt)</w:t>
      </w:r>
    </w:p>
    <w:p>
      <w:pPr>
        <w:pStyle w:val="BodyText"/>
        <w:rPr>
          <w:sz w:val="26"/>
        </w:rPr>
      </w:pPr>
    </w:p>
    <w:p>
      <w:pPr>
        <w:pStyle w:val="Heading1"/>
        <w:spacing w:before="199"/>
      </w:pPr>
      <w:r>
        <w:rPr/>
        <w:t>Så här applicerar du Firstbeat-mätinstrumentet:</w:t>
      </w:r>
    </w:p>
    <w:p>
      <w:pPr>
        <w:pStyle w:val="BodyText"/>
        <w:spacing w:before="9"/>
        <w:rPr>
          <w:b/>
          <w:sz w:val="20"/>
        </w:rPr>
      </w:pPr>
      <w:r>
        <w:rPr/>
        <w:drawing>
          <wp:anchor distT="0" distB="0" distL="0" distR="0" allowOverlap="1" layoutInCell="1" locked="0" behindDoc="0" simplePos="0" relativeHeight="0">
            <wp:simplePos x="0" y="0"/>
            <wp:positionH relativeFrom="page">
              <wp:posOffset>972185</wp:posOffset>
            </wp:positionH>
            <wp:positionV relativeFrom="paragraph">
              <wp:posOffset>176889</wp:posOffset>
            </wp:positionV>
            <wp:extent cx="5414152" cy="1802892"/>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414152" cy="1802892"/>
                    </a:xfrm>
                    <a:prstGeom prst="rect">
                      <a:avLst/>
                    </a:prstGeom>
                  </pic:spPr>
                </pic:pic>
              </a:graphicData>
            </a:graphic>
          </wp:anchor>
        </w:drawing>
      </w:r>
    </w:p>
    <w:p>
      <w:pPr>
        <w:pStyle w:val="BodyText"/>
        <w:spacing w:before="8"/>
        <w:rPr>
          <w:b/>
          <w:sz w:val="23"/>
        </w:rPr>
      </w:pPr>
    </w:p>
    <w:p>
      <w:pPr>
        <w:spacing w:after="0"/>
        <w:rPr>
          <w:sz w:val="23"/>
        </w:rPr>
        <w:sectPr>
          <w:type w:val="continuous"/>
          <w:pgSz w:w="11910" w:h="16840"/>
          <w:pgMar w:top="100" w:bottom="280" w:left="220" w:right="700"/>
        </w:sectPr>
      </w:pPr>
    </w:p>
    <w:p>
      <w:pPr>
        <w:pStyle w:val="ListParagraph"/>
        <w:numPr>
          <w:ilvl w:val="0"/>
          <w:numId w:val="2"/>
        </w:numPr>
        <w:tabs>
          <w:tab w:pos="1948" w:val="left" w:leader="none"/>
        </w:tabs>
        <w:spacing w:line="276" w:lineRule="auto" w:before="93" w:after="0"/>
        <w:ind w:left="1947" w:right="0" w:hanging="360"/>
        <w:jc w:val="left"/>
        <w:rPr>
          <w:b/>
          <w:sz w:val="22"/>
        </w:rPr>
      </w:pPr>
      <w:r>
        <w:rPr>
          <w:b/>
          <w:sz w:val="22"/>
        </w:rPr>
        <w:t>Fäst </w:t>
      </w:r>
      <w:r>
        <w:rPr>
          <w:b/>
          <w:spacing w:val="-1"/>
          <w:sz w:val="22"/>
        </w:rPr>
        <w:t>klistermärkena </w:t>
      </w:r>
      <w:r>
        <w:rPr>
          <w:b/>
          <w:sz w:val="22"/>
        </w:rPr>
        <w:t>på enhetens snäpp.</w:t>
      </w:r>
    </w:p>
    <w:p>
      <w:pPr>
        <w:pStyle w:val="ListParagraph"/>
        <w:numPr>
          <w:ilvl w:val="0"/>
          <w:numId w:val="2"/>
        </w:numPr>
        <w:tabs>
          <w:tab w:pos="494" w:val="left" w:leader="none"/>
        </w:tabs>
        <w:spacing w:line="240" w:lineRule="auto" w:before="93" w:after="0"/>
        <w:ind w:left="248" w:right="0" w:firstLine="0"/>
        <w:jc w:val="left"/>
        <w:rPr>
          <w:b/>
          <w:sz w:val="22"/>
        </w:rPr>
      </w:pPr>
      <w:r>
        <w:rPr>
          <w:b/>
          <w:spacing w:val="1"/>
          <w:w w:val="100"/>
          <w:sz w:val="22"/>
        </w:rPr>
        <w:br w:type="column"/>
      </w:r>
      <w:r>
        <w:rPr>
          <w:b/>
          <w:sz w:val="22"/>
        </w:rPr>
        <w:t>Ta bort skyddsfilmen </w:t>
      </w:r>
      <w:r>
        <w:rPr>
          <w:b/>
          <w:spacing w:val="-4"/>
          <w:sz w:val="22"/>
        </w:rPr>
        <w:t>från </w:t>
      </w:r>
      <w:r>
        <w:rPr>
          <w:b/>
          <w:sz w:val="22"/>
        </w:rPr>
        <w:t>klistermärket.</w:t>
      </w:r>
    </w:p>
    <w:p>
      <w:pPr>
        <w:pStyle w:val="ListParagraph"/>
        <w:numPr>
          <w:ilvl w:val="0"/>
          <w:numId w:val="2"/>
        </w:numPr>
        <w:tabs>
          <w:tab w:pos="541" w:val="left" w:leader="none"/>
        </w:tabs>
        <w:spacing w:line="240" w:lineRule="auto" w:before="93" w:after="0"/>
        <w:ind w:left="293" w:right="0" w:firstLine="0"/>
        <w:jc w:val="left"/>
        <w:rPr>
          <w:b/>
          <w:sz w:val="22"/>
        </w:rPr>
      </w:pPr>
      <w:r>
        <w:rPr>
          <w:b/>
          <w:w w:val="100"/>
          <w:sz w:val="22"/>
        </w:rPr>
        <w:br w:type="column"/>
      </w:r>
      <w:r>
        <w:rPr>
          <w:b/>
          <w:sz w:val="22"/>
        </w:rPr>
        <w:t>Fäst enheten på höger sida av kroppen, under nyckelbenet. Den andra änden av snöret på vänster sida av kroppen </w:t>
      </w:r>
      <w:r>
        <w:rPr>
          <w:b/>
          <w:spacing w:val="-6"/>
          <w:sz w:val="22"/>
        </w:rPr>
        <w:t>till </w:t>
      </w:r>
      <w:r>
        <w:rPr>
          <w:b/>
          <w:sz w:val="22"/>
        </w:rPr>
        <w:t>kustbågen.</w:t>
      </w:r>
    </w:p>
    <w:p>
      <w:pPr>
        <w:pStyle w:val="ListParagraph"/>
        <w:numPr>
          <w:ilvl w:val="0"/>
          <w:numId w:val="2"/>
        </w:numPr>
        <w:tabs>
          <w:tab w:pos="613" w:val="left" w:leader="none"/>
        </w:tabs>
        <w:spacing w:line="240" w:lineRule="auto" w:before="93" w:after="0"/>
        <w:ind w:left="367" w:right="102" w:firstLine="0"/>
        <w:jc w:val="left"/>
        <w:rPr>
          <w:b/>
          <w:sz w:val="22"/>
        </w:rPr>
      </w:pPr>
      <w:r>
        <w:rPr>
          <w:b/>
          <w:w w:val="100"/>
          <w:sz w:val="22"/>
        </w:rPr>
        <w:br w:type="column"/>
      </w:r>
      <w:r>
        <w:rPr>
          <w:b/>
          <w:sz w:val="22"/>
        </w:rPr>
        <w:t>Mätningen startar automatiskt när den är ansluten. Kontrollera att den gröna lampan blinkar. OBS: Ljus </w:t>
      </w:r>
      <w:r>
        <w:rPr>
          <w:b/>
          <w:spacing w:val="-5"/>
          <w:sz w:val="22"/>
        </w:rPr>
        <w:t>syns </w:t>
      </w:r>
      <w:r>
        <w:rPr>
          <w:b/>
          <w:sz w:val="22"/>
        </w:rPr>
        <w:t>bäst i</w:t>
      </w:r>
      <w:r>
        <w:rPr>
          <w:b/>
          <w:spacing w:val="-2"/>
          <w:sz w:val="22"/>
        </w:rPr>
        <w:t> </w:t>
      </w:r>
      <w:r>
        <w:rPr>
          <w:b/>
          <w:sz w:val="22"/>
        </w:rPr>
        <w:t>mörker.</w:t>
      </w:r>
    </w:p>
    <w:p>
      <w:pPr>
        <w:spacing w:after="0" w:line="240" w:lineRule="auto"/>
        <w:jc w:val="left"/>
        <w:rPr>
          <w:sz w:val="22"/>
        </w:rPr>
        <w:sectPr>
          <w:type w:val="continuous"/>
          <w:pgSz w:w="11910" w:h="16840"/>
          <w:pgMar w:top="100" w:bottom="280" w:left="220" w:right="700"/>
          <w:cols w:num="4" w:equalWidth="0">
            <w:col w:w="3503" w:space="40"/>
            <w:col w:w="2135" w:space="39"/>
            <w:col w:w="2287" w:space="40"/>
            <w:col w:w="2946"/>
          </w:cols>
        </w:sectPr>
      </w:pPr>
    </w:p>
    <w:p>
      <w:pPr>
        <w:pStyle w:val="BodyText"/>
        <w:rPr>
          <w:b/>
          <w:sz w:val="20"/>
        </w:rPr>
      </w:pPr>
    </w:p>
    <w:p>
      <w:pPr>
        <w:pStyle w:val="BodyText"/>
        <w:spacing w:before="7"/>
        <w:rPr>
          <w:b/>
        </w:rPr>
      </w:pPr>
    </w:p>
    <w:p>
      <w:pPr>
        <w:pStyle w:val="Heading2"/>
        <w:spacing w:before="93"/>
      </w:pPr>
      <w:r>
        <w:rPr/>
        <w:t>NOT:</w:t>
      </w:r>
    </w:p>
    <w:p>
      <w:pPr>
        <w:pStyle w:val="BodyText"/>
        <w:ind w:left="1311" w:right="399"/>
      </w:pPr>
      <w:r>
        <w:rPr/>
        <w:t>Du kan också hitta instruktioner om hur du ansluter enheten på Youtube under namnet: Firstbeat Wellbeing Analysis – Så här använder du mätinstrumentet</w:t>
      </w:r>
    </w:p>
    <w:p>
      <w:pPr>
        <w:pStyle w:val="BodyText"/>
        <w:ind w:left="1311" w:right="1054"/>
      </w:pPr>
      <w:r>
        <w:rPr/>
        <w:t>Eller länk: </w:t>
      </w:r>
      <w:r>
        <w:rPr>
          <w:color w:val="6F2F9F"/>
        </w:rPr>
        <w:t>https://</w:t>
      </w:r>
      <w:hyperlink r:id="rId7">
        <w:r>
          <w:rPr>
            <w:color w:val="6F2F9F"/>
          </w:rPr>
          <w:t>www.youtube.com/watch?v=PRslWZHaYSA&amp;ab_channel=FirstbeatGlobal</w:t>
        </w:r>
      </w:hyperlink>
    </w:p>
    <w:p>
      <w:pPr>
        <w:pStyle w:val="BodyText"/>
        <w:rPr>
          <w:sz w:val="20"/>
        </w:rPr>
      </w:pPr>
    </w:p>
    <w:p>
      <w:pPr>
        <w:pStyle w:val="BodyText"/>
        <w:rPr>
          <w:sz w:val="20"/>
        </w:rPr>
      </w:pPr>
    </w:p>
    <w:p>
      <w:pPr>
        <w:pStyle w:val="BodyText"/>
      </w:pPr>
    </w:p>
    <w:p>
      <w:pPr>
        <w:spacing w:line="199" w:lineRule="auto" w:before="121"/>
        <w:ind w:left="4374" w:right="673" w:firstLine="0"/>
        <w:jc w:val="left"/>
        <w:rPr>
          <w:b/>
          <w:sz w:val="15"/>
        </w:rPr>
      </w:pPr>
      <w:r>
        <w:rPr>
          <w:b/>
          <w:color w:val="8B8B8B"/>
          <w:sz w:val="15"/>
        </w:rPr>
        <w:t>Professor Minna Huotilainen, PB 9 / Minerva, 00014 Helsingfors universitetTfn +358 294129844, </w:t>
      </w:r>
      <w:hyperlink r:id="rId8">
        <w:r>
          <w:rPr>
            <w:b/>
            <w:color w:val="0000FF"/>
            <w:sz w:val="15"/>
            <w:u w:val="single" w:color="0000FF"/>
          </w:rPr>
          <w:t>minna.huotilainen@helsinki.fi</w:t>
        </w:r>
        <w:r>
          <w:rPr>
            <w:b/>
            <w:color w:val="8B8B8B"/>
            <w:sz w:val="15"/>
          </w:rPr>
          <w:t>, </w:t>
        </w:r>
      </w:hyperlink>
      <w:hyperlink r:id="rId9">
        <w:r>
          <w:rPr>
            <w:b/>
            <w:color w:val="0000FF"/>
            <w:sz w:val="15"/>
            <w:u w:val="single" w:color="0000FF"/>
          </w:rPr>
          <w:t>www.helsinki.fi</w:t>
        </w:r>
      </w:hyperlink>
    </w:p>
    <w:p>
      <w:pPr>
        <w:spacing w:after="0" w:line="199" w:lineRule="auto"/>
        <w:jc w:val="left"/>
        <w:rPr>
          <w:sz w:val="15"/>
        </w:rPr>
        <w:sectPr>
          <w:type w:val="continuous"/>
          <w:pgSz w:w="11910" w:h="16840"/>
          <w:pgMar w:top="100" w:bottom="280" w:left="220" w:right="700"/>
        </w:sectPr>
      </w:pPr>
    </w:p>
    <w:p>
      <w:pPr>
        <w:pStyle w:val="BodyText"/>
        <w:ind w:left="118"/>
        <w:rPr>
          <w:sz w:val="20"/>
        </w:rPr>
      </w:pPr>
      <w:r>
        <w:rPr>
          <w:sz w:val="20"/>
        </w:rPr>
        <w:drawing>
          <wp:inline distT="0" distB="0" distL="0" distR="0">
            <wp:extent cx="1177945" cy="1209865"/>
            <wp:effectExtent l="0" t="0" r="0" b="0"/>
            <wp:docPr id="5" name="image1.jpeg" descr=""/>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1177945" cy="1209865"/>
                    </a:xfrm>
                    <a:prstGeom prst="rect">
                      <a:avLst/>
                    </a:prstGeom>
                  </pic:spPr>
                </pic:pic>
              </a:graphicData>
            </a:graphic>
          </wp:inline>
        </w:drawing>
      </w:r>
      <w:r>
        <w:rPr>
          <w:sz w:val="20"/>
        </w:rPr>
      </w:r>
    </w:p>
    <w:p>
      <w:pPr>
        <w:pStyle w:val="BodyText"/>
        <w:rPr>
          <w:b/>
          <w:sz w:val="20"/>
        </w:rPr>
      </w:pPr>
    </w:p>
    <w:p>
      <w:pPr>
        <w:pStyle w:val="BodyText"/>
        <w:spacing w:before="10"/>
        <w:rPr>
          <w:b/>
          <w:sz w:val="25"/>
        </w:rPr>
      </w:pPr>
    </w:p>
    <w:p>
      <w:pPr>
        <w:pStyle w:val="BodyText"/>
        <w:spacing w:line="276" w:lineRule="auto" w:before="93"/>
        <w:ind w:left="1311" w:right="347"/>
      </w:pPr>
      <w:r>
        <w:rPr/>
        <w:t>Återigen </w:t>
      </w:r>
      <w:r>
        <w:rPr>
          <w:b/>
        </w:rPr>
        <w:t>är det förbjudet att använda enheten i vatten</w:t>
      </w:r>
      <w:r>
        <w:rPr/>
        <w:t>. Mätningen återupptas automatiskt när du ansluter enheten igen. Du kan använda nya klistermärken när du applicerar igen eftersom det är svårt att fästa enheten på klistermärken som redan sitter på din kropp. För att stoppa mätningen, koppla bort mätanordningen från din kropp (stannar automatiskt).</w:t>
      </w:r>
    </w:p>
    <w:p>
      <w:pPr>
        <w:pStyle w:val="BodyText"/>
        <w:spacing w:before="5"/>
        <w:rPr>
          <w:sz w:val="27"/>
        </w:rPr>
      </w:pPr>
    </w:p>
    <w:p>
      <w:pPr>
        <w:pStyle w:val="BodyText"/>
        <w:spacing w:line="276" w:lineRule="auto" w:before="1"/>
        <w:ind w:left="1311" w:right="334"/>
      </w:pPr>
      <w:r>
        <w:rPr>
          <w:b/>
        </w:rPr>
        <w:t>Klistermärken </w:t>
      </w:r>
      <w:r>
        <w:rPr/>
        <w:t>är engångsartiklar. Byt etiketter vid behov, t.ex. när du duschar eller om de lossnar mitt i mätningen. Elektrodpastan (koksaltlösningen) på klistermärkena kan irritera huden, så torka av huden efter att du tagit bort klistermärkena. Du kan också ändra klistermärkenas position på huden något så att en fläck inte bara blir irriterad. Om din hud blir för irriterad kan du avbryta mätningen.</w:t>
      </w:r>
    </w:p>
    <w:p>
      <w:pPr>
        <w:pStyle w:val="BodyText"/>
        <w:spacing w:before="8"/>
        <w:rPr>
          <w:sz w:val="27"/>
        </w:rPr>
      </w:pPr>
    </w:p>
    <w:p>
      <w:pPr>
        <w:pStyle w:val="BodyText"/>
        <w:spacing w:line="276" w:lineRule="auto"/>
        <w:ind w:left="1311" w:right="201"/>
      </w:pPr>
      <w:r>
        <w:rPr>
          <w:b/>
        </w:rPr>
        <w:t>Laddning </w:t>
      </w:r>
      <w:r>
        <w:rPr/>
        <w:t>av Firstbeat-apparaten: Firstbeat-enheten har laddats innan mätperioden börjar. Men om enheten får slut på batteri (indikering: den gröna lampan slutar blinka) kan du ladda enheten med en telefonladdare eller dator. För att göra det kopplar du bort den större delen från resten, vilket kommer att avslöja USB-delen. Under laddning blinkar den orange indikatorlampan på enheten. När enheten är fulladdad slutar den orange indikatorlampan att</w:t>
      </w:r>
      <w:r>
        <w:rPr>
          <w:spacing w:val="-5"/>
        </w:rPr>
        <w:t> </w:t>
      </w:r>
      <w:r>
        <w:rPr/>
        <w:t>blinka.</w:t>
      </w:r>
    </w:p>
    <w:p>
      <w:pPr>
        <w:pStyle w:val="BodyText"/>
        <w:spacing w:before="6"/>
        <w:rPr>
          <w:sz w:val="27"/>
        </w:rPr>
      </w:pPr>
    </w:p>
    <w:p>
      <w:pPr>
        <w:pStyle w:val="Heading2"/>
      </w:pPr>
      <w:r>
        <w:rPr/>
        <w:t>Frågor eller problem?</w:t>
      </w:r>
    </w:p>
    <w:p>
      <w:pPr>
        <w:pStyle w:val="BodyText"/>
        <w:spacing w:before="4"/>
        <w:rPr>
          <w:b/>
          <w:sz w:val="31"/>
        </w:rPr>
      </w:pPr>
    </w:p>
    <w:p>
      <w:pPr>
        <w:pStyle w:val="BodyText"/>
        <w:ind w:left="2247"/>
      </w:pPr>
      <w:r>
        <w:rPr/>
        <w:pict>
          <v:group style="position:absolute;margin-left:76.175003pt;margin-top:1.120864pt;width:33.1pt;height:12.55pt;mso-position-horizontal-relative:page;mso-position-vertical-relative:paragraph;z-index:1072" coordorigin="1524,22" coordsize="662,251">
            <v:shape style="position:absolute;left:1531;top:29;width:647;height:236" coordorigin="1531,30" coordsize="647,236" path="m2060,30l2060,89,1531,89,1531,207,2060,207,2060,266,2178,148,2060,30xe" filled="true" fillcolor="#4f81bc" stroked="false">
              <v:path arrowok="t"/>
              <v:fill type="solid"/>
            </v:shape>
            <v:shape style="position:absolute;left:1531;top:29;width:647;height:236" coordorigin="1531,30" coordsize="647,236" path="m1531,89l2060,89,2060,30,2178,148,2060,266,2060,207,1531,207,1531,89xe" filled="false" stroked="true" strokeweight=".75pt" strokecolor="#000000">
              <v:path arrowok="t"/>
              <v:stroke dashstyle="solid"/>
            </v:shape>
            <w10:wrap type="none"/>
          </v:group>
        </w:pict>
      </w:r>
      <w:r>
        <w:rPr/>
        <w:t>Kontakta </w:t>
      </w:r>
      <w:hyperlink r:id="rId8">
        <w:r>
          <w:rPr/>
          <w:t>minna.huotilainen@helsinki.fi </w:t>
        </w:r>
      </w:hyperlink>
      <w:r>
        <w:rPr/>
        <w:t>eller </w:t>
      </w:r>
      <w:hyperlink r:id="rId10">
        <w:r>
          <w:rPr/>
          <w:t>naike.gorr@helsinki.fi</w:t>
        </w:r>
      </w:hyperlink>
    </w:p>
    <w:sectPr>
      <w:pgSz w:w="11910" w:h="16840"/>
      <w:pgMar w:top="180" w:bottom="280" w:left="2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947" w:hanging="360"/>
        <w:jc w:val="right"/>
      </w:pPr>
      <w:rPr>
        <w:rFonts w:hint="default" w:ascii="Arial" w:hAnsi="Arial" w:eastAsia="Arial" w:cs="Arial"/>
        <w:b/>
        <w:bCs/>
        <w:spacing w:val="-1"/>
        <w:w w:val="100"/>
        <w:sz w:val="22"/>
        <w:szCs w:val="22"/>
        <w:lang w:val="en-US" w:eastAsia="en-US" w:bidi="en-US"/>
      </w:rPr>
    </w:lvl>
    <w:lvl w:ilvl="1">
      <w:start w:val="0"/>
      <w:numFmt w:val="bullet"/>
      <w:lvlText w:val="•"/>
      <w:lvlJc w:val="left"/>
      <w:pPr>
        <w:ind w:left="2096" w:hanging="360"/>
      </w:pPr>
      <w:rPr>
        <w:rFonts w:hint="default"/>
        <w:lang w:val="en-US" w:eastAsia="en-US" w:bidi="en-US"/>
      </w:rPr>
    </w:lvl>
    <w:lvl w:ilvl="2">
      <w:start w:val="0"/>
      <w:numFmt w:val="bullet"/>
      <w:lvlText w:val="•"/>
      <w:lvlJc w:val="left"/>
      <w:pPr>
        <w:ind w:left="2252" w:hanging="360"/>
      </w:pPr>
      <w:rPr>
        <w:rFonts w:hint="default"/>
        <w:lang w:val="en-US" w:eastAsia="en-US" w:bidi="en-US"/>
      </w:rPr>
    </w:lvl>
    <w:lvl w:ilvl="3">
      <w:start w:val="0"/>
      <w:numFmt w:val="bullet"/>
      <w:lvlText w:val="•"/>
      <w:lvlJc w:val="left"/>
      <w:pPr>
        <w:ind w:left="2408" w:hanging="360"/>
      </w:pPr>
      <w:rPr>
        <w:rFonts w:hint="default"/>
        <w:lang w:val="en-US" w:eastAsia="en-US" w:bidi="en-US"/>
      </w:rPr>
    </w:lvl>
    <w:lvl w:ilvl="4">
      <w:start w:val="0"/>
      <w:numFmt w:val="bullet"/>
      <w:lvlText w:val="•"/>
      <w:lvlJc w:val="left"/>
      <w:pPr>
        <w:ind w:left="2565" w:hanging="360"/>
      </w:pPr>
      <w:rPr>
        <w:rFonts w:hint="default"/>
        <w:lang w:val="en-US" w:eastAsia="en-US" w:bidi="en-US"/>
      </w:rPr>
    </w:lvl>
    <w:lvl w:ilvl="5">
      <w:start w:val="0"/>
      <w:numFmt w:val="bullet"/>
      <w:lvlText w:val="•"/>
      <w:lvlJc w:val="left"/>
      <w:pPr>
        <w:ind w:left="2721" w:hanging="360"/>
      </w:pPr>
      <w:rPr>
        <w:rFonts w:hint="default"/>
        <w:lang w:val="en-US" w:eastAsia="en-US" w:bidi="en-US"/>
      </w:rPr>
    </w:lvl>
    <w:lvl w:ilvl="6">
      <w:start w:val="0"/>
      <w:numFmt w:val="bullet"/>
      <w:lvlText w:val="•"/>
      <w:lvlJc w:val="left"/>
      <w:pPr>
        <w:ind w:left="2877" w:hanging="360"/>
      </w:pPr>
      <w:rPr>
        <w:rFonts w:hint="default"/>
        <w:lang w:val="en-US" w:eastAsia="en-US" w:bidi="en-US"/>
      </w:rPr>
    </w:lvl>
    <w:lvl w:ilvl="7">
      <w:start w:val="0"/>
      <w:numFmt w:val="bullet"/>
      <w:lvlText w:val="•"/>
      <w:lvlJc w:val="left"/>
      <w:pPr>
        <w:ind w:left="3033" w:hanging="360"/>
      </w:pPr>
      <w:rPr>
        <w:rFonts w:hint="default"/>
        <w:lang w:val="en-US" w:eastAsia="en-US" w:bidi="en-US"/>
      </w:rPr>
    </w:lvl>
    <w:lvl w:ilvl="8">
      <w:start w:val="0"/>
      <w:numFmt w:val="bullet"/>
      <w:lvlText w:val="•"/>
      <w:lvlJc w:val="left"/>
      <w:pPr>
        <w:ind w:left="3190" w:hanging="360"/>
      </w:pPr>
      <w:rPr>
        <w:rFonts w:hint="default"/>
        <w:lang w:val="en-US" w:eastAsia="en-US" w:bidi="en-US"/>
      </w:rPr>
    </w:lvl>
  </w:abstractNum>
  <w:abstractNum w:abstractNumId="0">
    <w:multiLevelType w:val="hybridMultilevel"/>
    <w:lvl w:ilvl="0">
      <w:start w:val="0"/>
      <w:numFmt w:val="bullet"/>
      <w:lvlText w:val="-"/>
      <w:lvlJc w:val="left"/>
      <w:pPr>
        <w:ind w:left="2031" w:hanging="360"/>
      </w:pPr>
      <w:rPr>
        <w:rFonts w:hint="default" w:ascii="Arial" w:hAnsi="Arial" w:eastAsia="Arial" w:cs="Arial"/>
        <w:spacing w:val="-3"/>
        <w:w w:val="99"/>
        <w:sz w:val="24"/>
        <w:szCs w:val="24"/>
        <w:lang w:val="en-US" w:eastAsia="en-US" w:bidi="en-US"/>
      </w:rPr>
    </w:lvl>
    <w:lvl w:ilvl="1">
      <w:start w:val="0"/>
      <w:numFmt w:val="bullet"/>
      <w:lvlText w:val="•"/>
      <w:lvlJc w:val="left"/>
      <w:pPr>
        <w:ind w:left="2934" w:hanging="360"/>
      </w:pPr>
      <w:rPr>
        <w:rFonts w:hint="default"/>
        <w:lang w:val="en-US" w:eastAsia="en-US" w:bidi="en-US"/>
      </w:rPr>
    </w:lvl>
    <w:lvl w:ilvl="2">
      <w:start w:val="0"/>
      <w:numFmt w:val="bullet"/>
      <w:lvlText w:val="•"/>
      <w:lvlJc w:val="left"/>
      <w:pPr>
        <w:ind w:left="3829" w:hanging="360"/>
      </w:pPr>
      <w:rPr>
        <w:rFonts w:hint="default"/>
        <w:lang w:val="en-US" w:eastAsia="en-US" w:bidi="en-US"/>
      </w:rPr>
    </w:lvl>
    <w:lvl w:ilvl="3">
      <w:start w:val="0"/>
      <w:numFmt w:val="bullet"/>
      <w:lvlText w:val="•"/>
      <w:lvlJc w:val="left"/>
      <w:pPr>
        <w:ind w:left="4723" w:hanging="360"/>
      </w:pPr>
      <w:rPr>
        <w:rFonts w:hint="default"/>
        <w:lang w:val="en-US" w:eastAsia="en-US" w:bidi="en-US"/>
      </w:rPr>
    </w:lvl>
    <w:lvl w:ilvl="4">
      <w:start w:val="0"/>
      <w:numFmt w:val="bullet"/>
      <w:lvlText w:val="•"/>
      <w:lvlJc w:val="left"/>
      <w:pPr>
        <w:ind w:left="5618" w:hanging="360"/>
      </w:pPr>
      <w:rPr>
        <w:rFonts w:hint="default"/>
        <w:lang w:val="en-US" w:eastAsia="en-US" w:bidi="en-US"/>
      </w:rPr>
    </w:lvl>
    <w:lvl w:ilvl="5">
      <w:start w:val="0"/>
      <w:numFmt w:val="bullet"/>
      <w:lvlText w:val="•"/>
      <w:lvlJc w:val="left"/>
      <w:pPr>
        <w:ind w:left="6513" w:hanging="360"/>
      </w:pPr>
      <w:rPr>
        <w:rFonts w:hint="default"/>
        <w:lang w:val="en-US" w:eastAsia="en-US" w:bidi="en-US"/>
      </w:rPr>
    </w:lvl>
    <w:lvl w:ilvl="6">
      <w:start w:val="0"/>
      <w:numFmt w:val="bullet"/>
      <w:lvlText w:val="•"/>
      <w:lvlJc w:val="left"/>
      <w:pPr>
        <w:ind w:left="7407" w:hanging="360"/>
      </w:pPr>
      <w:rPr>
        <w:rFonts w:hint="default"/>
        <w:lang w:val="en-US" w:eastAsia="en-US" w:bidi="en-US"/>
      </w:rPr>
    </w:lvl>
    <w:lvl w:ilvl="7">
      <w:start w:val="0"/>
      <w:numFmt w:val="bullet"/>
      <w:lvlText w:val="•"/>
      <w:lvlJc w:val="left"/>
      <w:pPr>
        <w:ind w:left="8302" w:hanging="360"/>
      </w:pPr>
      <w:rPr>
        <w:rFonts w:hint="default"/>
        <w:lang w:val="en-US" w:eastAsia="en-US" w:bidi="en-US"/>
      </w:rPr>
    </w:lvl>
    <w:lvl w:ilvl="8">
      <w:start w:val="0"/>
      <w:numFmt w:val="bullet"/>
      <w:lvlText w:val="•"/>
      <w:lvlJc w:val="left"/>
      <w:pPr>
        <w:ind w:left="9197"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1311"/>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ind w:left="1311"/>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93"/>
      <w:ind w:left="2031"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youtube.com/watch?v=PRslWZHaYSA&amp;amp;ab_channel=FirstbeatGlobal" TargetMode="External"/><Relationship Id="rId8" Type="http://schemas.openxmlformats.org/officeDocument/2006/relationships/hyperlink" Target="mailto:minna.huotilainen@helsinki.fi" TargetMode="External"/><Relationship Id="rId9" Type="http://schemas.openxmlformats.org/officeDocument/2006/relationships/hyperlink" Target="http://www.helsinki.fi/" TargetMode="External"/><Relationship Id="rId10" Type="http://schemas.openxmlformats.org/officeDocument/2006/relationships/hyperlink" Target="mailto:naike.gorr@helsinki.fi"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Pixelpress Oy / juha vilkki</dc:creator>
  <dcterms:created xsi:type="dcterms:W3CDTF">2024-03-25T08:34:37Z</dcterms:created>
  <dcterms:modified xsi:type="dcterms:W3CDTF">2024-03-25T08:34:37Z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for Microsoft 365</vt:lpwstr>
  </property>
  <property fmtid="{D5CDD505-2E9C-101B-9397-08002B2CF9AE}" pid="4" name="LastSaved">
    <vt:filetime>2024-03-25T00:00:00Z</vt:filetime>
  </property>
</Properties>
</file>